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EAD2" w14:textId="77777777"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1B206789" w14:textId="77777777" w:rsidR="002E3D98" w:rsidRPr="00213236" w:rsidRDefault="002E3D98" w:rsidP="00DC729C">
      <w:pPr>
        <w:jc w:val="right"/>
        <w:rPr>
          <w:b/>
          <w:i/>
        </w:rPr>
      </w:pPr>
      <w:r w:rsidRPr="00213236">
        <w:rPr>
          <w:b/>
          <w:i/>
        </w:rPr>
        <w:t>к Извещению об осуществлении закупки</w:t>
      </w:r>
    </w:p>
    <w:p w14:paraId="4530C62A" w14:textId="77777777" w:rsidR="002E3D98" w:rsidRPr="00213236" w:rsidRDefault="002E3D98" w:rsidP="00DC729C">
      <w:pPr>
        <w:widowControl w:val="0"/>
        <w:autoSpaceDE w:val="0"/>
        <w:autoSpaceDN w:val="0"/>
        <w:adjustRightInd w:val="0"/>
        <w:jc w:val="center"/>
        <w:rPr>
          <w:b/>
          <w:caps/>
        </w:rPr>
      </w:pPr>
    </w:p>
    <w:p w14:paraId="7B2F1976"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58F0CCC3" w14:textId="77777777" w:rsidR="00382D76" w:rsidRPr="00213236" w:rsidRDefault="00382D76" w:rsidP="00DC729C">
      <w:pPr>
        <w:jc w:val="center"/>
        <w:rPr>
          <w:iCs/>
          <w:lang w:eastAsia="zh-CN"/>
        </w:rPr>
      </w:pPr>
    </w:p>
    <w:p w14:paraId="28EC2949" w14:textId="77777777"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4D4EB7">
        <w:rPr>
          <w:iCs/>
          <w:lang w:eastAsia="zh-CN"/>
        </w:rPr>
        <w:t>25322090110792209010010161001</w:t>
      </w:r>
      <w:r w:rsidR="004D4EB7" w:rsidRPr="004D4EB7">
        <w:rPr>
          <w:iCs/>
          <w:lang w:eastAsia="zh-CN"/>
        </w:rPr>
        <w:t>6832244</w:t>
      </w:r>
    </w:p>
    <w:p w14:paraId="06F8A433" w14:textId="77777777" w:rsidR="00CB04A2" w:rsidRPr="00213236" w:rsidRDefault="00CB04A2" w:rsidP="00CB04A2">
      <w:pPr>
        <w:jc w:val="center"/>
      </w:pPr>
    </w:p>
    <w:p w14:paraId="0BBFE15E" w14:textId="77777777"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14:paraId="5B358666"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2F71DA30" w14:textId="77777777" w:rsidR="00043FF9" w:rsidRDefault="00043FF9" w:rsidP="00043FF9">
      <w:pPr>
        <w:pStyle w:val="a8"/>
        <w:ind w:firstLine="708"/>
      </w:pPr>
    </w:p>
    <w:p w14:paraId="3DCC22D4"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5B60EC1E"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sidR="007B40A4">
        <w:rPr>
          <w:szCs w:val="24"/>
        </w:rPr>
        <w:t>провести обследование и выдать заключение</w:t>
      </w:r>
      <w:r w:rsidR="007B40A4" w:rsidRPr="007B40A4">
        <w:rPr>
          <w:szCs w:val="24"/>
        </w:rPr>
        <w:t xml:space="preserve"> о возможности (невозможности) перевода жилой квартиры в нежилое помещение без проведения работ по перепланировке, переустройству и реконструкции недвижимого имущества</w:t>
      </w:r>
      <w:r w:rsidR="007B40A4">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304F1138"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64544E69" w14:textId="77777777"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w:t>
      </w:r>
      <w:r w:rsidR="00EA55E1">
        <w:t>а, находящего</w:t>
      </w:r>
      <w:r w:rsidRPr="00043FF9">
        <w:t>ся в городе Рубцовске Алтайского края</w:t>
      </w:r>
      <w:r w:rsidR="00EA55E1">
        <w:t>, указанного</w:t>
      </w:r>
      <w:r>
        <w:t xml:space="preserve">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1150ED69" w14:textId="77777777" w:rsidR="00F900CE" w:rsidRDefault="00254A46" w:rsidP="00F900CE">
      <w:pPr>
        <w:ind w:firstLine="709"/>
        <w:jc w:val="both"/>
      </w:pPr>
      <w:r>
        <w:t xml:space="preserve">1.4. Исполнитель, выполняющий работу в рамках настоящего Контракта, </w:t>
      </w:r>
    </w:p>
    <w:p w14:paraId="68B091C2" w14:textId="77777777" w:rsidR="00F900CE" w:rsidRDefault="00F900CE" w:rsidP="00F900CE">
      <w:pPr>
        <w:jc w:val="both"/>
      </w:pPr>
      <w:r>
        <w:t>кадастровый инженер __________________________________________________________</w:t>
      </w:r>
    </w:p>
    <w:p w14:paraId="58D4BDA8" w14:textId="77777777" w:rsidR="00254A46" w:rsidRDefault="00254A46" w:rsidP="00F900CE">
      <w:pPr>
        <w:jc w:val="both"/>
      </w:pPr>
      <w:r>
        <w:t>состоит в следующей саморегулируемой организации: ______________________</w:t>
      </w:r>
      <w:r w:rsidR="00F900CE">
        <w:t>__</w:t>
      </w:r>
      <w:r>
        <w:t>______</w:t>
      </w:r>
    </w:p>
    <w:p w14:paraId="747CAB5F" w14:textId="77777777" w:rsidR="00254A46" w:rsidRPr="00431670" w:rsidRDefault="00254A46" w:rsidP="00F900CE">
      <w:pPr>
        <w:jc w:val="both"/>
      </w:pPr>
      <w:r>
        <w:t>Место нахождения саморегулируемой организации: _________________________</w:t>
      </w:r>
      <w:r w:rsidR="00F900CE">
        <w:t>______</w:t>
      </w:r>
      <w:r>
        <w:t>_</w:t>
      </w:r>
    </w:p>
    <w:p w14:paraId="6DC7577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137274AD"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8F2D69C"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71FD646"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B6BE65C"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71319E">
        <w:lastRenderedPageBreak/>
        <w:t>платежи и иные расходы, связанные с выполнением работы.</w:t>
      </w:r>
    </w:p>
    <w:p w14:paraId="25715AB3"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08B14180" w14:textId="77777777" w:rsidR="00043FF9" w:rsidRDefault="00043FF9" w:rsidP="00043FF9">
      <w:pPr>
        <w:ind w:firstLine="709"/>
        <w:jc w:val="both"/>
      </w:pPr>
      <w:r>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132A6F05" w14:textId="77777777"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5DF1CA09"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1FE0B674"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0AC44B4C"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27895D35"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5BC96F60"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9C2ADC2"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1C90DD4C"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7C865CB6" w14:textId="77777777" w:rsidR="00043FF9" w:rsidRPr="008B372D" w:rsidRDefault="00043FF9" w:rsidP="00043FF9">
      <w:pPr>
        <w:widowControl w:val="0"/>
        <w:autoSpaceDE w:val="0"/>
        <w:autoSpaceDN w:val="0"/>
        <w:adjustRightInd w:val="0"/>
        <w:ind w:firstLine="709"/>
        <w:jc w:val="both"/>
      </w:pPr>
    </w:p>
    <w:p w14:paraId="499FA37C"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0C4F9F25" w14:textId="77777777" w:rsidR="00043FF9" w:rsidRPr="00061214" w:rsidRDefault="00043FF9" w:rsidP="00043FF9">
      <w:pPr>
        <w:tabs>
          <w:tab w:val="left" w:pos="993"/>
        </w:tabs>
        <w:ind w:firstLine="700"/>
        <w:jc w:val="both"/>
      </w:pPr>
      <w:r>
        <w:t xml:space="preserve">3.1. </w:t>
      </w:r>
      <w:r w:rsidRPr="00061214">
        <w:t>Заказчик имеет право:</w:t>
      </w:r>
    </w:p>
    <w:p w14:paraId="659912C6"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3C7228F2"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02999ECA"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5A6D5AD0"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3041B695"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64063483"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D19833E" w14:textId="77777777" w:rsidR="00043FF9" w:rsidRDefault="00043FF9" w:rsidP="00043FF9">
      <w:pPr>
        <w:autoSpaceDE w:val="0"/>
        <w:autoSpaceDN w:val="0"/>
        <w:adjustRightInd w:val="0"/>
        <w:ind w:firstLine="700"/>
        <w:jc w:val="both"/>
        <w:rPr>
          <w:color w:val="000000"/>
        </w:rPr>
      </w:pPr>
      <w:r w:rsidRPr="00061214">
        <w:rPr>
          <w:color w:val="000000"/>
        </w:rPr>
        <w:lastRenderedPageBreak/>
        <w:t>3.1.7. Требовать от Исполнителя сохранность, конфиденциальность любой информации, связанной с выполнением работ по настоящему Контракту.</w:t>
      </w:r>
    </w:p>
    <w:p w14:paraId="36CCD2D1" w14:textId="77777777" w:rsidR="00043FF9" w:rsidRPr="00061214" w:rsidRDefault="00043FF9" w:rsidP="00043FF9">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AC067FA" w14:textId="77777777" w:rsidR="00043FF9" w:rsidRPr="00061214" w:rsidRDefault="00043FF9" w:rsidP="00043FF9">
      <w:pPr>
        <w:tabs>
          <w:tab w:val="left" w:pos="993"/>
        </w:tabs>
        <w:ind w:firstLine="700"/>
        <w:jc w:val="both"/>
      </w:pPr>
      <w:r>
        <w:t xml:space="preserve">3.2. </w:t>
      </w:r>
      <w:r w:rsidRPr="00061214">
        <w:t>Заказчик обязан:</w:t>
      </w:r>
    </w:p>
    <w:p w14:paraId="7261C9AB"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2C829BE2"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29A30332"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6DBE63B0"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3C033E90"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6383FC3E"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70BFDF"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557DB6B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2D64E43"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2852F65"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4A77DB01"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7319A0BC"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3938484E"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3F3AA37D"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479ED35E"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331F98A3"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E2F76BC" w14:textId="77777777" w:rsidR="00043FF9" w:rsidRPr="00061214" w:rsidRDefault="00043FF9" w:rsidP="00043FF9">
      <w:pPr>
        <w:ind w:firstLine="700"/>
        <w:jc w:val="both"/>
      </w:pPr>
      <w:r w:rsidRPr="00061214">
        <w:t>3.4.1. Выполнить работы в сроки, предусмотренные Контрактом.</w:t>
      </w:r>
    </w:p>
    <w:p w14:paraId="5DEAFC1D"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1AD6BB01"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3AD0E05E" w14:textId="77777777" w:rsidR="00043FF9" w:rsidRPr="00061214" w:rsidRDefault="00043FF9" w:rsidP="00043FF9">
      <w:pPr>
        <w:autoSpaceDE w:val="0"/>
        <w:autoSpaceDN w:val="0"/>
        <w:adjustRightInd w:val="0"/>
        <w:ind w:firstLine="700"/>
        <w:jc w:val="both"/>
      </w:pPr>
      <w:r w:rsidRPr="00061214">
        <w:rPr>
          <w:color w:val="000000"/>
        </w:rPr>
        <w:lastRenderedPageBreak/>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7A3C492A" w14:textId="77777777" w:rsidR="00043FF9" w:rsidRPr="00061214" w:rsidRDefault="00043FF9" w:rsidP="00043FF9">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75CFDA59"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1F87F8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541D108"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78FD226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221EBFFD"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10B8014A"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7E162615"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2BFE84B"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073F580C"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24216CD3"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158916D"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2DCFD3F9" w14:textId="77777777" w:rsidR="00043FF9" w:rsidRPr="00061214" w:rsidRDefault="00043FF9" w:rsidP="00043FF9">
      <w:pPr>
        <w:rPr>
          <w:sz w:val="20"/>
          <w:szCs w:val="20"/>
        </w:rPr>
      </w:pPr>
    </w:p>
    <w:p w14:paraId="1903B4FA"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3E42932B" w14:textId="77777777"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7B40A4">
        <w:rPr>
          <w:sz w:val="24"/>
          <w:szCs w:val="24"/>
        </w:rPr>
        <w:t>20</w:t>
      </w:r>
      <w:r w:rsidR="002A7247" w:rsidRPr="002A7247">
        <w:rPr>
          <w:sz w:val="24"/>
          <w:szCs w:val="24"/>
        </w:rPr>
        <w:t xml:space="preserve"> (</w:t>
      </w:r>
      <w:r w:rsidR="007B40A4">
        <w:rPr>
          <w:sz w:val="24"/>
          <w:szCs w:val="24"/>
        </w:rPr>
        <w:t>двадцати</w:t>
      </w:r>
      <w:r w:rsidR="002A7247" w:rsidRPr="002A7247">
        <w:rPr>
          <w:sz w:val="24"/>
          <w:szCs w:val="24"/>
        </w:rPr>
        <w:t xml:space="preserve">) </w:t>
      </w:r>
      <w:r w:rsidR="00EA55E1">
        <w:rPr>
          <w:sz w:val="24"/>
          <w:szCs w:val="24"/>
        </w:rPr>
        <w:t>рабочих</w:t>
      </w:r>
      <w:r w:rsidR="002A7247" w:rsidRPr="002A7247">
        <w:rPr>
          <w:sz w:val="24"/>
          <w:szCs w:val="24"/>
        </w:rPr>
        <w:t xml:space="preserve"> дней</w:t>
      </w:r>
      <w:r w:rsidRPr="0071319E">
        <w:rPr>
          <w:sz w:val="24"/>
          <w:szCs w:val="24"/>
        </w:rPr>
        <w:t>.</w:t>
      </w:r>
    </w:p>
    <w:p w14:paraId="1B14A2E1"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01B94571"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3BA9C044"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7A41BDBB"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47189549" w14:textId="77777777" w:rsidR="00043FF9" w:rsidRPr="00CA2FC8" w:rsidRDefault="00043FF9" w:rsidP="00043FF9">
      <w:pPr>
        <w:pStyle w:val="a4"/>
        <w:numPr>
          <w:ilvl w:val="1"/>
          <w:numId w:val="6"/>
        </w:numPr>
        <w:shd w:val="clear" w:color="auto" w:fill="FFFFFF"/>
        <w:tabs>
          <w:tab w:val="left" w:pos="993"/>
          <w:tab w:val="left" w:pos="1276"/>
          <w:tab w:val="left" w:pos="1418"/>
        </w:tabs>
        <w:ind w:left="0" w:firstLine="709"/>
        <w:jc w:val="both"/>
        <w:rPr>
          <w:i/>
        </w:rPr>
      </w:pPr>
      <w:r w:rsidRPr="009F1AA7">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w:t>
      </w:r>
      <w:r w:rsidR="009F1AA7">
        <w:t>,</w:t>
      </w:r>
      <w:r w:rsidRPr="009F1AA7">
        <w:t xml:space="preserve"> </w:t>
      </w:r>
      <w:r w:rsidR="009F1AA7" w:rsidRPr="009F1AA7">
        <w:t xml:space="preserve"> формирует и размещает в единой информационной системе документ о приемке, с учетом положений пункта 5.8 Контракта и направляет комплект документов, предусмотренных Техническим заданием  (Приложение № 1)</w:t>
      </w:r>
      <w:r w:rsidR="009F1AA7">
        <w:t xml:space="preserve">. </w:t>
      </w:r>
    </w:p>
    <w:p w14:paraId="1523F028" w14:textId="77777777"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lastRenderedPageBreak/>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w:t>
      </w:r>
      <w:r w:rsidRPr="009F1AA7">
        <w:rPr>
          <w:color w:val="000000" w:themeColor="text1"/>
        </w:rPr>
        <w:t>ления),</w:t>
      </w:r>
      <w:r w:rsidRPr="0071319E">
        <w:rPr>
          <w:color w:val="000000" w:themeColor="text1"/>
        </w:rPr>
        <w:t xml:space="preserve"> </w:t>
      </w:r>
      <w:r w:rsidRPr="0071319E">
        <w:t>документа(</w:t>
      </w:r>
      <w:proofErr w:type="spellStart"/>
      <w:r w:rsidRPr="0071319E">
        <w:t>ов</w:t>
      </w:r>
      <w:proofErr w:type="spellEnd"/>
      <w:r w:rsidRPr="0071319E">
        <w:t>) о приемк</w:t>
      </w:r>
      <w:r w:rsidRPr="009F1AA7">
        <w:rPr>
          <w:color w:val="000000" w:themeColor="text1"/>
        </w:rPr>
        <w:t>е</w:t>
      </w:r>
      <w:r w:rsidRPr="009F1AA7">
        <w:rPr>
          <w:i/>
          <w:color w:val="000000" w:themeColor="text1"/>
        </w:rPr>
        <w:t>.</w:t>
      </w:r>
    </w:p>
    <w:p w14:paraId="1EC0F1D2"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6B09BD1C"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A8C15F"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80F506C"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3E8D2344"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478EADFC"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7B584EC"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9B92C8D" w14:textId="77777777"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FEED664" w14:textId="77777777"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8A3AADF"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79DF0041" w14:textId="77777777" w:rsidR="00043FF9" w:rsidRPr="0071319E" w:rsidRDefault="00043FF9" w:rsidP="00043FF9">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B19B63F" w14:textId="77777777"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71319E">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47179D0"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05ADBD5"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28B047DB"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DC16F5C"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0D9C4E2"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4D62EF3D" w14:textId="77777777" w:rsidR="00043FF9" w:rsidRPr="009219B5" w:rsidRDefault="00043FF9" w:rsidP="00043FF9">
      <w:pPr>
        <w:shd w:val="clear" w:color="auto" w:fill="FFFFFF"/>
        <w:tabs>
          <w:tab w:val="left" w:pos="1260"/>
        </w:tabs>
        <w:ind w:left="709"/>
        <w:jc w:val="both"/>
      </w:pPr>
    </w:p>
    <w:p w14:paraId="6780C88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5299ED49"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7630E83A" w14:textId="77777777" w:rsidR="00043FF9" w:rsidRPr="0071319E" w:rsidRDefault="00043FF9" w:rsidP="00043FF9">
      <w:pPr>
        <w:shd w:val="clear" w:color="auto" w:fill="FFFFFF"/>
        <w:tabs>
          <w:tab w:val="left" w:pos="993"/>
          <w:tab w:val="left" w:pos="1276"/>
        </w:tabs>
        <w:ind w:firstLine="709"/>
        <w:jc w:val="both"/>
      </w:pPr>
    </w:p>
    <w:p w14:paraId="4D49E9B0"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2796DF14"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61F8C972"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05509AF"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79614E4B"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25059DA4" w14:textId="77777777" w:rsidR="00043FF9" w:rsidRDefault="00043FF9" w:rsidP="00043FF9">
      <w:pPr>
        <w:pStyle w:val="a4"/>
        <w:shd w:val="clear" w:color="auto" w:fill="FFFFFF"/>
        <w:tabs>
          <w:tab w:val="left" w:pos="993"/>
          <w:tab w:val="left" w:pos="1498"/>
        </w:tabs>
        <w:autoSpaceDE w:val="0"/>
        <w:autoSpaceDN w:val="0"/>
        <w:adjustRightInd w:val="0"/>
        <w:ind w:left="0"/>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37D62EF"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5C495A2B"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0514FA51"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10D3AEF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23EC4D1E"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B573664" w14:textId="7777777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BCE608A" w14:textId="77777777"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EA55E1">
        <w:rPr>
          <w:kern w:val="16"/>
        </w:rPr>
        <w:t>10</w:t>
      </w:r>
      <w:r w:rsidRPr="00684655">
        <w:rPr>
          <w:kern w:val="16"/>
        </w:rPr>
        <w:t xml:space="preserve"> % цены Контракта)</w:t>
      </w:r>
      <w:r w:rsidRPr="00684655">
        <w:t>.</w:t>
      </w:r>
    </w:p>
    <w:p w14:paraId="575A492D"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DB62248"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4E0352"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3EE20820"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05E9B54"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w:t>
      </w:r>
      <w:r w:rsidRPr="0071319E">
        <w:rPr>
          <w:kern w:val="16"/>
        </w:rPr>
        <w:lastRenderedPageBreak/>
        <w:t xml:space="preserve">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879A7FA"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E2E00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5C5FAD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5734385C"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0962F4BF"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3453F64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141B4EFF"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6B23A44" w14:textId="77777777" w:rsidR="00043FF9" w:rsidRDefault="00043FF9" w:rsidP="00EA55E1">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2E72344C"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6E4D092B"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1C65B45A"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4C4B2BF"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lastRenderedPageBreak/>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0909F8E5"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5E9E22CF"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73AA532F"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46392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690C13A4"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F5A5F6F"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190BEB89"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7957A1CF"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31E7877F"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A45F260" w14:textId="77777777" w:rsidR="00043FF9" w:rsidRPr="009C5C5E" w:rsidRDefault="00043FF9" w:rsidP="00043FF9">
      <w:pPr>
        <w:widowControl w:val="0"/>
        <w:autoSpaceDE w:val="0"/>
        <w:autoSpaceDN w:val="0"/>
        <w:adjustRightInd w:val="0"/>
        <w:ind w:firstLine="709"/>
        <w:jc w:val="both"/>
      </w:pPr>
      <w:r w:rsidRPr="009C5C5E">
        <w:lastRenderedPageBreak/>
        <w:t>а) в случае, если цена Контракта не превышает начальную (максимальную) цену Контракта:</w:t>
      </w:r>
    </w:p>
    <w:p w14:paraId="086FFB2F" w14:textId="77777777"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4B03F74A" w14:textId="77777777"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7232BB14"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1F3FEF5F"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72CEC1C9"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00ED37A8"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277CD06B"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A546F09"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434B3A1"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44DBF36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45151D3E"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560FAC2A"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324C9C87"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401DB5A5"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ECE432C"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59F3CCB8"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9019199"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4C3B83DB"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23E4A5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AB6C705"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0FDD55E"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EF6D17"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7038BB15"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B6E098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76FF494"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D06B3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525BD26"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13D5FAF4"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3091332" w14:textId="77777777" w:rsidR="00043FF9" w:rsidRPr="009C5C5E" w:rsidRDefault="00043FF9" w:rsidP="00043FF9">
      <w:pPr>
        <w:tabs>
          <w:tab w:val="left" w:pos="1276"/>
        </w:tabs>
        <w:ind w:left="709"/>
        <w:jc w:val="both"/>
        <w:rPr>
          <w:i/>
        </w:rPr>
      </w:pPr>
    </w:p>
    <w:p w14:paraId="5E32339D"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46F2EEB1"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0BBE247"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2E49FCC"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7D3456D"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F1B4B3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521C7BD" w14:textId="77777777" w:rsidR="00043FF9" w:rsidRPr="0071319E" w:rsidRDefault="00043FF9" w:rsidP="00043FF9">
      <w:pPr>
        <w:pStyle w:val="a8"/>
        <w:numPr>
          <w:ilvl w:val="1"/>
          <w:numId w:val="2"/>
        </w:numPr>
        <w:tabs>
          <w:tab w:val="left" w:pos="426"/>
          <w:tab w:val="left" w:pos="1134"/>
        </w:tabs>
        <w:ind w:left="0" w:firstLine="709"/>
      </w:pPr>
      <w:r w:rsidRPr="0071319E">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71319E">
        <w:lastRenderedPageBreak/>
        <w:t>Стороны не придут к соглашению, спор подлежит рассмотрению в Арбитражном суде Алтайского края.</w:t>
      </w:r>
    </w:p>
    <w:p w14:paraId="1BF86512" w14:textId="77777777" w:rsidR="00043FF9" w:rsidRPr="0071319E" w:rsidRDefault="00043FF9" w:rsidP="00043FF9">
      <w:pPr>
        <w:pStyle w:val="a8"/>
        <w:tabs>
          <w:tab w:val="left" w:pos="426"/>
          <w:tab w:val="left" w:pos="1134"/>
        </w:tabs>
        <w:ind w:firstLine="709"/>
      </w:pPr>
    </w:p>
    <w:p w14:paraId="234A1AFD"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6CFA1F4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28E7F38"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B36993"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0E60B43"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744AE187"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7BAF03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99EC865"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7AB71D" w14:textId="77777777"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DCFA701"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5246B88A"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22649D" w14:textId="77777777" w:rsidR="00043FF9" w:rsidRPr="00393197" w:rsidRDefault="00043FF9" w:rsidP="00043FF9">
      <w:pPr>
        <w:pStyle w:val="a8"/>
        <w:ind w:left="709"/>
        <w:rPr>
          <w:color w:val="000000" w:themeColor="text1"/>
        </w:rPr>
      </w:pPr>
    </w:p>
    <w:p w14:paraId="087ADD1D"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6C816199" w14:textId="77777777"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A8A1009"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5D960102"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5EB19E77" w14:textId="77777777"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5F1914EB" w14:textId="77777777" w:rsidR="005021BE" w:rsidRDefault="005021BE" w:rsidP="005021BE">
      <w:pPr>
        <w:ind w:firstLine="709"/>
        <w:jc w:val="both"/>
        <w:rPr>
          <w:iCs/>
        </w:rPr>
      </w:pPr>
      <w:r>
        <w:rPr>
          <w:iCs/>
          <w:spacing w:val="-2"/>
        </w:rPr>
        <w:lastRenderedPageBreak/>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0446578"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AF58E3A"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95E148B"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294711A8"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267D28EF"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A981691"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7A685EE"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A6CB95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780F8CE1"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079C961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D37B27A"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7CC6A0EC"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B187D2F"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2587733B"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Pr>
          <w:rFonts w:ascii="Times New Roman" w:hAnsi="Times New Roman" w:cs="Times New Roman"/>
          <w:iCs/>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585C5B59"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A2959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4F49000A"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9356B3"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571ED6A" w14:textId="77777777" w:rsidR="005021BE" w:rsidRPr="00375653" w:rsidRDefault="005021BE" w:rsidP="005021BE">
      <w:pPr>
        <w:pStyle w:val="ConsPlusNormal"/>
        <w:widowControl/>
        <w:ind w:left="709"/>
        <w:jc w:val="both"/>
        <w:rPr>
          <w:rFonts w:ascii="Times New Roman" w:hAnsi="Times New Roman" w:cs="Times New Roman"/>
          <w:sz w:val="24"/>
          <w:szCs w:val="24"/>
        </w:rPr>
      </w:pPr>
    </w:p>
    <w:p w14:paraId="6EADD3EC" w14:textId="77777777" w:rsidR="00C76A31" w:rsidRDefault="00C76A31" w:rsidP="005021BE">
      <w:pPr>
        <w:ind w:firstLine="709"/>
        <w:jc w:val="both"/>
      </w:pPr>
    </w:p>
    <w:p w14:paraId="1DA7EB77"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26E12084"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4E00E8E8"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13F3DA5C"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D0CB93E" w14:textId="77777777" w:rsidR="009F6115" w:rsidRPr="005021BE" w:rsidRDefault="009F6115" w:rsidP="00DC729C">
            <w:pPr>
              <w:widowControl w:val="0"/>
              <w:autoSpaceDE w:val="0"/>
              <w:autoSpaceDN w:val="0"/>
              <w:adjustRightInd w:val="0"/>
            </w:pPr>
            <w:r w:rsidRPr="005021BE">
              <w:t>Алтайского края</w:t>
            </w:r>
          </w:p>
          <w:p w14:paraId="3C2B2D61" w14:textId="77777777" w:rsidR="009F6115" w:rsidRPr="005021BE" w:rsidRDefault="009F6115" w:rsidP="00DC729C">
            <w:pPr>
              <w:widowControl w:val="0"/>
              <w:autoSpaceDE w:val="0"/>
              <w:autoSpaceDN w:val="0"/>
              <w:adjustRightInd w:val="0"/>
            </w:pPr>
            <w:r w:rsidRPr="005021BE">
              <w:t xml:space="preserve">ИНН 2209011079; КПП 220901001; </w:t>
            </w:r>
          </w:p>
          <w:p w14:paraId="5F78C25F" w14:textId="77777777" w:rsidR="009F6115" w:rsidRPr="005021BE" w:rsidRDefault="009F6115" w:rsidP="00DC729C">
            <w:pPr>
              <w:widowControl w:val="0"/>
              <w:autoSpaceDE w:val="0"/>
              <w:autoSpaceDN w:val="0"/>
              <w:adjustRightInd w:val="0"/>
            </w:pPr>
            <w:r w:rsidRPr="005021BE">
              <w:t>ОКТМО 01716000</w:t>
            </w:r>
          </w:p>
          <w:p w14:paraId="36C59213" w14:textId="77777777" w:rsidR="009F6115" w:rsidRPr="005021BE" w:rsidRDefault="009F6115" w:rsidP="00DC729C">
            <w:pPr>
              <w:widowControl w:val="0"/>
              <w:autoSpaceDE w:val="0"/>
              <w:autoSpaceDN w:val="0"/>
              <w:adjustRightInd w:val="0"/>
            </w:pPr>
            <w:r w:rsidRPr="005021BE">
              <w:t>658200, г. Рубцовск, пр. Ленина,130</w:t>
            </w:r>
          </w:p>
          <w:p w14:paraId="5481BB64" w14:textId="77777777"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FFED907"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3ED89206" w14:textId="77777777" w:rsidR="009F6115" w:rsidRPr="005021BE" w:rsidRDefault="009F6115" w:rsidP="00DC729C">
            <w:pPr>
              <w:widowControl w:val="0"/>
              <w:autoSpaceDE w:val="0"/>
              <w:autoSpaceDN w:val="0"/>
              <w:adjustRightInd w:val="0"/>
            </w:pPr>
            <w:r w:rsidRPr="005021BE">
              <w:t>г. Барнаул</w:t>
            </w:r>
          </w:p>
          <w:p w14:paraId="1566B7AA" w14:textId="77777777" w:rsidR="009F6115" w:rsidRPr="005021BE" w:rsidRDefault="009F6115" w:rsidP="00DC729C">
            <w:pPr>
              <w:widowControl w:val="0"/>
              <w:autoSpaceDE w:val="0"/>
              <w:autoSpaceDN w:val="0"/>
              <w:adjustRightInd w:val="0"/>
            </w:pPr>
            <w:r w:rsidRPr="005021BE">
              <w:t>БИК 010173001</w:t>
            </w:r>
          </w:p>
          <w:p w14:paraId="20A0B32D" w14:textId="77777777" w:rsidR="009F6115" w:rsidRPr="005021BE" w:rsidRDefault="009F6115" w:rsidP="00DC729C">
            <w:pPr>
              <w:widowControl w:val="0"/>
              <w:autoSpaceDE w:val="0"/>
              <w:autoSpaceDN w:val="0"/>
              <w:adjustRightInd w:val="0"/>
            </w:pPr>
            <w:r w:rsidRPr="005021BE">
              <w:t>ЕКС 40102810045370000009</w:t>
            </w:r>
          </w:p>
          <w:p w14:paraId="50068496" w14:textId="77777777"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25195406" w14:textId="77777777" w:rsidR="00B87063" w:rsidRPr="005021BE" w:rsidRDefault="00B87063" w:rsidP="00DC729C">
            <w:pPr>
              <w:widowControl w:val="0"/>
              <w:autoSpaceDE w:val="0"/>
              <w:autoSpaceDN w:val="0"/>
              <w:adjustRightInd w:val="0"/>
            </w:pPr>
          </w:p>
          <w:p w14:paraId="57B92260" w14:textId="77777777" w:rsidR="006C6AE1" w:rsidRDefault="009F6115" w:rsidP="00DC729C">
            <w:pPr>
              <w:pStyle w:val="a4"/>
              <w:widowControl w:val="0"/>
              <w:tabs>
                <w:tab w:val="left" w:pos="0"/>
              </w:tabs>
              <w:autoSpaceDE w:val="0"/>
              <w:autoSpaceDN w:val="0"/>
              <w:adjustRightInd w:val="0"/>
              <w:ind w:left="0"/>
              <w:jc w:val="both"/>
            </w:pPr>
            <w:r w:rsidRPr="00213236">
              <w:t>_______________</w:t>
            </w:r>
          </w:p>
          <w:p w14:paraId="74689F8D" w14:textId="77777777" w:rsidR="000A09D6" w:rsidRPr="00213236" w:rsidRDefault="000A09D6" w:rsidP="00DC729C">
            <w:pPr>
              <w:pStyle w:val="a4"/>
              <w:widowControl w:val="0"/>
              <w:tabs>
                <w:tab w:val="left" w:pos="0"/>
              </w:tabs>
              <w:autoSpaceDE w:val="0"/>
              <w:autoSpaceDN w:val="0"/>
              <w:adjustRightInd w:val="0"/>
              <w:ind w:left="0"/>
              <w:jc w:val="both"/>
            </w:pPr>
          </w:p>
          <w:p w14:paraId="6CBDECE4"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D35CCA8"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23F91D2E"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25A92146" w14:textId="77777777" w:rsidR="005021BE" w:rsidRDefault="009F6115" w:rsidP="006869DD">
      <w:r w:rsidRPr="00213236">
        <w:t xml:space="preserve">                                                                                            </w:t>
      </w:r>
      <w:r w:rsidR="006869DD">
        <w:t xml:space="preserve">          </w:t>
      </w:r>
    </w:p>
    <w:p w14:paraId="646E528B" w14:textId="77777777" w:rsidR="005021BE" w:rsidRDefault="005021BE" w:rsidP="006869DD"/>
    <w:p w14:paraId="77618FB6" w14:textId="77777777" w:rsidR="005021BE" w:rsidRDefault="005021BE" w:rsidP="006869DD"/>
    <w:p w14:paraId="74D32490" w14:textId="77777777" w:rsidR="00904719" w:rsidRDefault="00904719" w:rsidP="005021BE">
      <w:pPr>
        <w:jc w:val="right"/>
      </w:pPr>
    </w:p>
    <w:p w14:paraId="632E946F" w14:textId="77777777" w:rsidR="002A7247" w:rsidRDefault="002A7247" w:rsidP="005021BE">
      <w:pPr>
        <w:jc w:val="right"/>
      </w:pPr>
    </w:p>
    <w:p w14:paraId="0D01445D" w14:textId="77777777" w:rsidR="002A7247" w:rsidRDefault="002A7247" w:rsidP="005021BE">
      <w:pPr>
        <w:jc w:val="right"/>
      </w:pPr>
    </w:p>
    <w:p w14:paraId="04A855B1" w14:textId="77777777" w:rsidR="002A7247" w:rsidRDefault="002A7247" w:rsidP="005021BE">
      <w:pPr>
        <w:jc w:val="right"/>
      </w:pPr>
    </w:p>
    <w:p w14:paraId="48EC19BA" w14:textId="77777777" w:rsidR="002A7247" w:rsidRDefault="002A7247" w:rsidP="005021BE">
      <w:pPr>
        <w:jc w:val="right"/>
      </w:pPr>
    </w:p>
    <w:p w14:paraId="24A3D7C7" w14:textId="77777777" w:rsidR="007B40A4" w:rsidRDefault="007B40A4" w:rsidP="005021BE">
      <w:pPr>
        <w:jc w:val="right"/>
      </w:pPr>
    </w:p>
    <w:p w14:paraId="3C99B3A7" w14:textId="77777777" w:rsidR="007B40A4" w:rsidRDefault="007B40A4" w:rsidP="005021BE">
      <w:pPr>
        <w:jc w:val="right"/>
      </w:pPr>
    </w:p>
    <w:p w14:paraId="6F8DD6A5" w14:textId="77777777" w:rsidR="007B40A4" w:rsidRDefault="007B40A4" w:rsidP="005021BE">
      <w:pPr>
        <w:jc w:val="right"/>
      </w:pPr>
    </w:p>
    <w:p w14:paraId="2F707500" w14:textId="77777777" w:rsidR="007B40A4" w:rsidRDefault="007B40A4" w:rsidP="005021BE">
      <w:pPr>
        <w:jc w:val="right"/>
      </w:pPr>
    </w:p>
    <w:p w14:paraId="08453AA0" w14:textId="77777777" w:rsidR="002A7247" w:rsidRDefault="002A7247" w:rsidP="005021BE">
      <w:pPr>
        <w:jc w:val="right"/>
      </w:pPr>
    </w:p>
    <w:p w14:paraId="62E6B363" w14:textId="77777777" w:rsidR="009F6115" w:rsidRPr="00213236" w:rsidRDefault="006869DD" w:rsidP="005021BE">
      <w:pPr>
        <w:jc w:val="right"/>
      </w:pPr>
      <w:r>
        <w:lastRenderedPageBreak/>
        <w:t xml:space="preserve">  </w:t>
      </w:r>
      <w:r w:rsidR="001503C2">
        <w:t>П</w:t>
      </w:r>
      <w:r w:rsidR="009F6115" w:rsidRPr="00213236">
        <w:t>риложение 1</w:t>
      </w:r>
    </w:p>
    <w:p w14:paraId="477CBDB2" w14:textId="77777777" w:rsidR="009F6115" w:rsidRPr="00213236" w:rsidRDefault="009F6115" w:rsidP="005021BE">
      <w:pPr>
        <w:ind w:left="6237"/>
        <w:jc w:val="right"/>
      </w:pPr>
      <w:r w:rsidRPr="00213236">
        <w:t>к муниципальному контракту</w:t>
      </w:r>
    </w:p>
    <w:p w14:paraId="1786429D" w14:textId="77777777" w:rsidR="009F6115" w:rsidRPr="00213236" w:rsidRDefault="009F6115" w:rsidP="005021BE">
      <w:pPr>
        <w:ind w:left="6237"/>
        <w:jc w:val="right"/>
      </w:pPr>
      <w:r w:rsidRPr="00213236">
        <w:t>от ______202</w:t>
      </w:r>
      <w:r w:rsidR="008B6F14">
        <w:t>5</w:t>
      </w:r>
      <w:r w:rsidRPr="00213236">
        <w:t xml:space="preserve"> № _______</w:t>
      </w:r>
    </w:p>
    <w:p w14:paraId="14B6388F" w14:textId="77777777" w:rsidR="009F6115" w:rsidRPr="00213236" w:rsidRDefault="009F6115" w:rsidP="009F6115"/>
    <w:p w14:paraId="2DA49048"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D3FD4D4" w14:textId="77777777" w:rsidR="00C74FFE" w:rsidRPr="000047AF" w:rsidRDefault="00C74FFE" w:rsidP="00C74FFE">
      <w:pPr>
        <w:jc w:val="center"/>
        <w:rPr>
          <w:rStyle w:val="FontStyle51"/>
          <w:b/>
          <w:sz w:val="24"/>
          <w:szCs w:val="24"/>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410"/>
        <w:gridCol w:w="1134"/>
        <w:gridCol w:w="1135"/>
      </w:tblGrid>
      <w:tr w:rsidR="007B40A4" w:rsidRPr="004D4FAF" w14:paraId="7313CBE4" w14:textId="77777777" w:rsidTr="00B7311D">
        <w:tc>
          <w:tcPr>
            <w:tcW w:w="567" w:type="dxa"/>
            <w:tcBorders>
              <w:top w:val="single" w:sz="4" w:space="0" w:color="auto"/>
              <w:left w:val="single" w:sz="4" w:space="0" w:color="auto"/>
              <w:bottom w:val="single" w:sz="4" w:space="0" w:color="auto"/>
              <w:right w:val="single" w:sz="4" w:space="0" w:color="auto"/>
            </w:tcBorders>
            <w:vAlign w:val="center"/>
            <w:hideMark/>
          </w:tcPr>
          <w:p w14:paraId="34D4851C" w14:textId="77777777" w:rsidR="007B40A4" w:rsidRPr="004D4FAF" w:rsidRDefault="007B40A4" w:rsidP="00B7311D">
            <w:pPr>
              <w:contextualSpacing/>
            </w:pPr>
            <w:r w:rsidRPr="004D4FAF">
              <w:t>№п/п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8035092" w14:textId="77777777" w:rsidR="007B40A4" w:rsidRPr="004D4FAF" w:rsidRDefault="007B40A4" w:rsidP="00B7311D">
            <w:pPr>
              <w:contextualSpacing/>
            </w:pPr>
            <w:r w:rsidRPr="004D4FAF">
              <w:t>Наименование товара, работы, услуги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36E33C" w14:textId="77777777" w:rsidR="007B40A4" w:rsidRPr="004D4FAF" w:rsidRDefault="007B40A4" w:rsidP="00B7311D">
            <w:pPr>
              <w:contextualSpacing/>
            </w:pPr>
            <w:r w:rsidRPr="004D4FAF">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82161" w14:textId="77777777" w:rsidR="007B40A4" w:rsidRPr="004D4FAF" w:rsidRDefault="007B40A4" w:rsidP="00B7311D">
            <w:pPr>
              <w:contextualSpacing/>
            </w:pPr>
            <w:r w:rsidRPr="004D4FAF">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E56300" w14:textId="77777777" w:rsidR="007B40A4" w:rsidRPr="004D4FAF" w:rsidRDefault="007B40A4" w:rsidP="00B7311D">
            <w:pPr>
              <w:contextualSpacing/>
            </w:pPr>
            <w:r w:rsidRPr="004D4FAF">
              <w:t>Кол-во (объем)</w:t>
            </w:r>
          </w:p>
        </w:tc>
      </w:tr>
      <w:tr w:rsidR="007B40A4" w:rsidRPr="004D4FAF" w14:paraId="56BE7D02" w14:textId="77777777" w:rsidTr="00B7311D">
        <w:tc>
          <w:tcPr>
            <w:tcW w:w="567" w:type="dxa"/>
            <w:tcBorders>
              <w:top w:val="single" w:sz="4" w:space="0" w:color="auto"/>
              <w:left w:val="single" w:sz="4" w:space="0" w:color="auto"/>
              <w:bottom w:val="single" w:sz="4" w:space="0" w:color="auto"/>
              <w:right w:val="single" w:sz="4" w:space="0" w:color="auto"/>
            </w:tcBorders>
            <w:vAlign w:val="center"/>
            <w:hideMark/>
          </w:tcPr>
          <w:p w14:paraId="5981E250" w14:textId="77777777" w:rsidR="007B40A4" w:rsidRPr="004D4FAF" w:rsidRDefault="007B40A4" w:rsidP="00B7311D">
            <w:pPr>
              <w:contextualSpacing/>
              <w:jc w:val="center"/>
            </w:pPr>
            <w:r w:rsidRPr="004D4FAF">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6D3F3E6" w14:textId="77777777" w:rsidR="007B40A4" w:rsidRPr="008A7E06" w:rsidRDefault="007B40A4" w:rsidP="00B7311D">
            <w:pPr>
              <w:contextualSpacing/>
              <w:jc w:val="both"/>
            </w:pPr>
            <w:r w:rsidRPr="00270508">
              <w:t>Проведение обследования и выдача заключения о возможности (невозможности) перевода жилой квартиры в нежилое помещение без проведения работ по перепланировке, переустройству и реконструкции недвижимого имущества</w:t>
            </w:r>
          </w:p>
        </w:tc>
        <w:tc>
          <w:tcPr>
            <w:tcW w:w="2410" w:type="dxa"/>
            <w:tcBorders>
              <w:top w:val="single" w:sz="4" w:space="0" w:color="auto"/>
              <w:left w:val="single" w:sz="4" w:space="0" w:color="auto"/>
              <w:right w:val="single" w:sz="4" w:space="0" w:color="auto"/>
            </w:tcBorders>
            <w:vAlign w:val="center"/>
            <w:hideMark/>
          </w:tcPr>
          <w:p w14:paraId="6C409A6A" w14:textId="77777777" w:rsidR="007B40A4" w:rsidRPr="008A7E06" w:rsidRDefault="007B40A4" w:rsidP="00B7311D">
            <w:pPr>
              <w:contextualSpacing/>
              <w:jc w:val="center"/>
            </w:pPr>
            <w:r>
              <w:t>68</w:t>
            </w:r>
            <w:r w:rsidRPr="008A7E06">
              <w:t>.</w:t>
            </w:r>
            <w:r>
              <w:t>32</w:t>
            </w:r>
            <w:r w:rsidRPr="008A7E06">
              <w:t>.</w:t>
            </w:r>
            <w:r>
              <w:t>11</w:t>
            </w:r>
            <w:r w:rsidRPr="008A7E06">
              <w:t>.110</w:t>
            </w:r>
          </w:p>
          <w:p w14:paraId="0570C8E0" w14:textId="77777777" w:rsidR="007B40A4" w:rsidRPr="008A7E06" w:rsidRDefault="007B40A4" w:rsidP="00B7311D">
            <w:pPr>
              <w:contextualSpacing/>
              <w:jc w:val="center"/>
            </w:pPr>
            <w:r w:rsidRPr="00270508">
              <w:t>Услуги по технической инвентаризации недвижимого имущества жилого фонда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D6F04C" w14:textId="77777777" w:rsidR="007B40A4" w:rsidRPr="008A7E06" w:rsidRDefault="007B40A4" w:rsidP="00B7311D">
            <w:proofErr w:type="spellStart"/>
            <w:r w:rsidRPr="008A7E06">
              <w:t>Усл</w:t>
            </w:r>
            <w:proofErr w:type="spellEnd"/>
            <w:r w:rsidRPr="008A7E06">
              <w:t>. ед.</w:t>
            </w:r>
          </w:p>
        </w:tc>
        <w:tc>
          <w:tcPr>
            <w:tcW w:w="1135" w:type="dxa"/>
            <w:tcBorders>
              <w:top w:val="single" w:sz="4" w:space="0" w:color="auto"/>
              <w:left w:val="single" w:sz="4" w:space="0" w:color="auto"/>
              <w:bottom w:val="single" w:sz="4" w:space="0" w:color="auto"/>
              <w:right w:val="single" w:sz="4" w:space="0" w:color="auto"/>
            </w:tcBorders>
            <w:vAlign w:val="center"/>
          </w:tcPr>
          <w:p w14:paraId="1ACD72EC" w14:textId="77777777" w:rsidR="007B40A4" w:rsidRPr="008A7E06" w:rsidRDefault="007B40A4" w:rsidP="00B7311D">
            <w:pPr>
              <w:contextualSpacing/>
              <w:jc w:val="center"/>
            </w:pPr>
            <w:r w:rsidRPr="008A7E06">
              <w:t>1</w:t>
            </w:r>
          </w:p>
        </w:tc>
      </w:tr>
    </w:tbl>
    <w:p w14:paraId="64CE952F" w14:textId="77777777" w:rsidR="007B40A4" w:rsidRDefault="007B40A4" w:rsidP="007B40A4">
      <w:pPr>
        <w:ind w:left="1069"/>
        <w:contextualSpacing/>
        <w:jc w:val="both"/>
        <w:rPr>
          <w:sz w:val="26"/>
          <w:szCs w:val="26"/>
        </w:rPr>
      </w:pPr>
    </w:p>
    <w:p w14:paraId="643E15A5" w14:textId="77777777" w:rsidR="007B40A4" w:rsidRDefault="007B40A4" w:rsidP="007B40A4">
      <w:pPr>
        <w:widowControl w:val="0"/>
        <w:ind w:firstLine="709"/>
        <w:jc w:val="both"/>
        <w:rPr>
          <w:sz w:val="28"/>
          <w:szCs w:val="28"/>
        </w:rPr>
      </w:pPr>
    </w:p>
    <w:p w14:paraId="3CD15886" w14:textId="77777777" w:rsidR="007B40A4" w:rsidRPr="00270508" w:rsidRDefault="007B40A4" w:rsidP="007B40A4">
      <w:pPr>
        <w:pStyle w:val="a4"/>
        <w:numPr>
          <w:ilvl w:val="0"/>
          <w:numId w:val="29"/>
        </w:numPr>
        <w:ind w:left="0" w:firstLine="709"/>
        <w:jc w:val="both"/>
      </w:pPr>
      <w:r w:rsidRPr="00270508">
        <w:t>Объект обследования: Алтайский край, г. Рубцовск, ул. Карла Маркса, д. 216, кв. 1.</w:t>
      </w:r>
    </w:p>
    <w:p w14:paraId="463DD0A4" w14:textId="77777777" w:rsidR="007B40A4" w:rsidRPr="00270508" w:rsidRDefault="007B40A4" w:rsidP="007B40A4">
      <w:pPr>
        <w:pStyle w:val="a4"/>
        <w:numPr>
          <w:ilvl w:val="0"/>
          <w:numId w:val="29"/>
        </w:numPr>
        <w:ind w:left="0" w:firstLine="709"/>
        <w:jc w:val="both"/>
        <w:rPr>
          <w:bCs/>
        </w:rPr>
      </w:pPr>
      <w:r w:rsidRPr="00270508">
        <w:rPr>
          <w:bCs/>
        </w:rPr>
        <w:t>Правообладатель недвижимого имущества: Муниципальное образование городской округ город Рубцовск Алтайского края.</w:t>
      </w:r>
    </w:p>
    <w:p w14:paraId="4C79F3C0" w14:textId="77777777" w:rsidR="007B40A4" w:rsidRPr="00270508" w:rsidRDefault="007B40A4" w:rsidP="007B40A4">
      <w:pPr>
        <w:pStyle w:val="a4"/>
        <w:numPr>
          <w:ilvl w:val="0"/>
          <w:numId w:val="29"/>
        </w:numPr>
        <w:ind w:left="0" w:firstLine="709"/>
        <w:jc w:val="both"/>
        <w:rPr>
          <w:bCs/>
        </w:rPr>
      </w:pPr>
      <w:r w:rsidRPr="00270508">
        <w:rPr>
          <w:bCs/>
        </w:rPr>
        <w:t>Цель обследован</w:t>
      </w:r>
      <w:r>
        <w:rPr>
          <w:bCs/>
        </w:rPr>
        <w:t>ия: определение возможности (не</w:t>
      </w:r>
      <w:r w:rsidRPr="00270508">
        <w:rPr>
          <w:bCs/>
        </w:rPr>
        <w:t>возможности) перевода жилой квартиры № 1 в нежилое помещение № 1 по ул. Карла Маркса, 216 в городе Рубцовске Алтайского края, без проведения работ по перепланировке, переустройству и реконструкции недвижимого имущества.</w:t>
      </w:r>
    </w:p>
    <w:p w14:paraId="7D88F439" w14:textId="77777777" w:rsidR="007B40A4" w:rsidRPr="00270508" w:rsidRDefault="007B40A4" w:rsidP="007B40A4">
      <w:pPr>
        <w:pStyle w:val="a4"/>
        <w:numPr>
          <w:ilvl w:val="0"/>
          <w:numId w:val="29"/>
        </w:numPr>
        <w:ind w:left="0" w:firstLine="709"/>
        <w:jc w:val="both"/>
        <w:rPr>
          <w:bCs/>
        </w:rPr>
      </w:pPr>
      <w:r w:rsidRPr="00270508">
        <w:rPr>
          <w:bCs/>
        </w:rPr>
        <w:t>Предполагаемое использование результатов обследования: перевод жилой квартиры № 1 в нежилое помещение № 1 по ул. Карла Маркса, 216 в городе Рубцовске Алтайского края.</w:t>
      </w:r>
    </w:p>
    <w:p w14:paraId="0A0E28FE" w14:textId="77777777" w:rsidR="007B40A4" w:rsidRPr="00270508" w:rsidRDefault="007B40A4" w:rsidP="007B40A4">
      <w:pPr>
        <w:pStyle w:val="a4"/>
        <w:numPr>
          <w:ilvl w:val="0"/>
          <w:numId w:val="29"/>
        </w:numPr>
        <w:ind w:left="0" w:firstLine="709"/>
        <w:jc w:val="both"/>
        <w:rPr>
          <w:bCs/>
        </w:rPr>
      </w:pPr>
      <w:r w:rsidRPr="00270508">
        <w:rPr>
          <w:bCs/>
        </w:rPr>
        <w:t>Заключение должно быть выполнено в соответствии с требованиями законодательства Российской Федерации.</w:t>
      </w:r>
    </w:p>
    <w:p w14:paraId="5C475C88" w14:textId="68104ED1" w:rsidR="007B40A4" w:rsidRPr="00270508" w:rsidRDefault="007B40A4" w:rsidP="007B40A4">
      <w:pPr>
        <w:pStyle w:val="a4"/>
        <w:numPr>
          <w:ilvl w:val="0"/>
          <w:numId w:val="29"/>
        </w:numPr>
        <w:ind w:left="0" w:firstLine="709"/>
        <w:jc w:val="both"/>
        <w:rPr>
          <w:bCs/>
        </w:rPr>
      </w:pPr>
      <w:r w:rsidRPr="00270508">
        <w:rPr>
          <w:bCs/>
        </w:rPr>
        <w:t xml:space="preserve">При </w:t>
      </w:r>
      <w:r w:rsidR="009819D4">
        <w:rPr>
          <w:bCs/>
        </w:rPr>
        <w:t>выполнении работ</w:t>
      </w:r>
      <w:r w:rsidRPr="00270508">
        <w:rPr>
          <w:bCs/>
        </w:rPr>
        <w:t xml:space="preserve"> осмотр объектов обследования исполнителем обязателен.</w:t>
      </w:r>
    </w:p>
    <w:p w14:paraId="38B5B974" w14:textId="59A8BC3B" w:rsidR="007B40A4" w:rsidRPr="00270508" w:rsidRDefault="007B40A4" w:rsidP="007B40A4">
      <w:pPr>
        <w:pStyle w:val="a4"/>
        <w:numPr>
          <w:ilvl w:val="0"/>
          <w:numId w:val="29"/>
        </w:numPr>
        <w:ind w:left="0" w:firstLine="709"/>
        <w:jc w:val="both"/>
        <w:rPr>
          <w:bCs/>
        </w:rPr>
      </w:pPr>
      <w:r w:rsidRPr="00270508">
        <w:rPr>
          <w:bCs/>
        </w:rPr>
        <w:t>Заказчику должны б</w:t>
      </w:r>
      <w:r>
        <w:rPr>
          <w:bCs/>
        </w:rPr>
        <w:t>ыть переданы на руки не позднее</w:t>
      </w:r>
      <w:r w:rsidRPr="00270508">
        <w:rPr>
          <w:bCs/>
        </w:rPr>
        <w:t xml:space="preserve"> следующего рабочего дня после окончания срока </w:t>
      </w:r>
      <w:r w:rsidR="009819D4">
        <w:rPr>
          <w:bCs/>
        </w:rPr>
        <w:t>выполнения работ</w:t>
      </w:r>
      <w:r w:rsidRPr="00270508">
        <w:rPr>
          <w:bCs/>
        </w:rPr>
        <w:t>:</w:t>
      </w:r>
    </w:p>
    <w:p w14:paraId="2E986E22" w14:textId="77777777" w:rsidR="007B40A4" w:rsidRPr="00270508" w:rsidRDefault="007B40A4" w:rsidP="007B40A4">
      <w:pPr>
        <w:ind w:firstLine="567"/>
        <w:jc w:val="both"/>
        <w:rPr>
          <w:bCs/>
        </w:rPr>
      </w:pPr>
      <w:r w:rsidRPr="00270508">
        <w:rPr>
          <w:bCs/>
        </w:rPr>
        <w:t xml:space="preserve">- заключение в бумажном варианте </w:t>
      </w:r>
      <w:r w:rsidRPr="00270508">
        <w:rPr>
          <w:bCs/>
          <w:u w:val="single"/>
        </w:rPr>
        <w:t>в двух экземплярах</w:t>
      </w:r>
      <w:r w:rsidRPr="00270508">
        <w:rPr>
          <w:bCs/>
        </w:rPr>
        <w:t xml:space="preserve"> по адресу: 658200, Алтайский край, г. Рубцовск, пер. Бульварный, 25, </w:t>
      </w:r>
      <w:proofErr w:type="spellStart"/>
      <w:r w:rsidRPr="00270508">
        <w:rPr>
          <w:bCs/>
        </w:rPr>
        <w:t>каб</w:t>
      </w:r>
      <w:proofErr w:type="spellEnd"/>
      <w:r w:rsidRPr="00270508">
        <w:rPr>
          <w:bCs/>
        </w:rPr>
        <w:t xml:space="preserve">. 70 или </w:t>
      </w:r>
      <w:proofErr w:type="spellStart"/>
      <w:r w:rsidRPr="00270508">
        <w:rPr>
          <w:bCs/>
        </w:rPr>
        <w:t>каб</w:t>
      </w:r>
      <w:proofErr w:type="spellEnd"/>
      <w:r w:rsidRPr="00270508">
        <w:rPr>
          <w:bCs/>
        </w:rPr>
        <w:t>. 64.</w:t>
      </w:r>
    </w:p>
    <w:p w14:paraId="28C5E3C6" w14:textId="77777777" w:rsidR="007B40A4" w:rsidRPr="00270508" w:rsidRDefault="007B40A4" w:rsidP="007B40A4">
      <w:pPr>
        <w:ind w:firstLine="567"/>
        <w:jc w:val="both"/>
      </w:pPr>
      <w:r w:rsidRPr="00270508">
        <w:t xml:space="preserve">Документы предварительно направить на эл. почту: </w:t>
      </w:r>
      <w:hyperlink r:id="rId8" w:history="1">
        <w:r w:rsidRPr="00270508">
          <w:rPr>
            <w:rStyle w:val="ab"/>
            <w:lang w:val="en-US"/>
          </w:rPr>
          <w:t>spirid</w:t>
        </w:r>
        <w:r w:rsidRPr="00270508">
          <w:rPr>
            <w:rStyle w:val="ab"/>
          </w:rPr>
          <w:t>onova@rubtsovsk.org</w:t>
        </w:r>
      </w:hyperlink>
      <w:r w:rsidRPr="00270508">
        <w:t xml:space="preserve">, </w:t>
      </w:r>
      <w:hyperlink r:id="rId9" w:history="1">
        <w:r w:rsidRPr="00270508">
          <w:t>sigida@rubtsovsk.org</w:t>
        </w:r>
      </w:hyperlink>
      <w:r w:rsidRPr="00270508">
        <w:t>.</w:t>
      </w:r>
    </w:p>
    <w:p w14:paraId="4ABFD91A" w14:textId="77777777" w:rsidR="009F6115" w:rsidRPr="00D800EE" w:rsidRDefault="009F6115" w:rsidP="001503C2">
      <w:pPr>
        <w:ind w:right="-81" w:firstLine="709"/>
        <w:jc w:val="both"/>
        <w:rPr>
          <w:sz w:val="22"/>
          <w:szCs w:val="22"/>
        </w:rPr>
      </w:pPr>
    </w:p>
    <w:p w14:paraId="3CF8A0CC" w14:textId="77777777" w:rsidR="009F6115" w:rsidRPr="00440050" w:rsidRDefault="009F6115" w:rsidP="001503C2">
      <w:pPr>
        <w:ind w:firstLine="709"/>
      </w:pPr>
      <w:r w:rsidRPr="00440050">
        <w:t xml:space="preserve">Заказчик                                                                           Исполнитель </w:t>
      </w:r>
    </w:p>
    <w:p w14:paraId="293D9098" w14:textId="77777777"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39E0F2EF" w14:textId="77777777" w:rsidR="00A53C30" w:rsidRPr="00D800EE" w:rsidRDefault="00A53C30" w:rsidP="009F6115">
      <w:pPr>
        <w:tabs>
          <w:tab w:val="left" w:pos="426"/>
        </w:tabs>
        <w:rPr>
          <w:sz w:val="20"/>
          <w:szCs w:val="20"/>
        </w:rPr>
      </w:pPr>
    </w:p>
    <w:sectPr w:rsidR="00A53C30" w:rsidRPr="00D800EE" w:rsidSect="00DC729C">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AC8D" w14:textId="77777777" w:rsidR="004D4EB7" w:rsidRDefault="004D4EB7" w:rsidP="00D13704">
      <w:r>
        <w:separator/>
      </w:r>
    </w:p>
  </w:endnote>
  <w:endnote w:type="continuationSeparator" w:id="0">
    <w:p w14:paraId="46CF77B7" w14:textId="77777777" w:rsidR="004D4EB7" w:rsidRDefault="004D4EB7"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82657"/>
    </w:sdtPr>
    <w:sdtEndPr/>
    <w:sdtContent>
      <w:p w14:paraId="7E70E8E2" w14:textId="77777777" w:rsidR="004D4EB7" w:rsidRDefault="009819D4">
        <w:pPr>
          <w:pStyle w:val="af1"/>
          <w:jc w:val="right"/>
        </w:pPr>
        <w:r>
          <w:fldChar w:fldCharType="begin"/>
        </w:r>
        <w:r>
          <w:instrText xml:space="preserve"> PAGE   \* MERGEFORMAT </w:instrText>
        </w:r>
        <w:r>
          <w:fldChar w:fldCharType="separate"/>
        </w:r>
        <w:r w:rsidR="007B40A4">
          <w:rPr>
            <w:noProof/>
          </w:rPr>
          <w:t>15</w:t>
        </w:r>
        <w:r>
          <w:rPr>
            <w:noProof/>
          </w:rPr>
          <w:fldChar w:fldCharType="end"/>
        </w:r>
      </w:p>
    </w:sdtContent>
  </w:sdt>
  <w:p w14:paraId="4CA31824" w14:textId="77777777" w:rsidR="004D4EB7" w:rsidRDefault="004D4EB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7AE4" w14:textId="77777777" w:rsidR="004D4EB7" w:rsidRDefault="004D4EB7" w:rsidP="00D13704">
      <w:r>
        <w:separator/>
      </w:r>
    </w:p>
  </w:footnote>
  <w:footnote w:type="continuationSeparator" w:id="0">
    <w:p w14:paraId="69B67DF6" w14:textId="77777777" w:rsidR="004D4EB7" w:rsidRDefault="004D4EB7"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1675C6"/>
    <w:multiLevelType w:val="hybridMultilevel"/>
    <w:tmpl w:val="0C42C11C"/>
    <w:lvl w:ilvl="0" w:tplc="859C5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9"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1" w15:restartNumberingAfterBreak="0">
    <w:nsid w:val="39DA1AA2"/>
    <w:multiLevelType w:val="hybridMultilevel"/>
    <w:tmpl w:val="842ACCBC"/>
    <w:lvl w:ilvl="0" w:tplc="2A36A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4"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5"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9"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8985629">
    <w:abstractNumId w:val="12"/>
  </w:num>
  <w:num w:numId="2" w16cid:durableId="158270773">
    <w:abstractNumId w:val="17"/>
  </w:num>
  <w:num w:numId="3" w16cid:durableId="1071464556">
    <w:abstractNumId w:val="13"/>
  </w:num>
  <w:num w:numId="4" w16cid:durableId="535390492">
    <w:abstractNumId w:val="3"/>
  </w:num>
  <w:num w:numId="5" w16cid:durableId="1690835755">
    <w:abstractNumId w:val="19"/>
  </w:num>
  <w:num w:numId="6" w16cid:durableId="942417754">
    <w:abstractNumId w:val="2"/>
  </w:num>
  <w:num w:numId="7" w16cid:durableId="2046179215">
    <w:abstractNumId w:val="16"/>
  </w:num>
  <w:num w:numId="8" w16cid:durableId="1547063115">
    <w:abstractNumId w:val="9"/>
  </w:num>
  <w:num w:numId="9" w16cid:durableId="1504853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16029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665586">
    <w:abstractNumId w:val="20"/>
  </w:num>
  <w:num w:numId="12" w16cid:durableId="321589166">
    <w:abstractNumId w:val="20"/>
  </w:num>
  <w:num w:numId="13" w16cid:durableId="1611358514">
    <w:abstractNumId w:val="1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288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080779">
    <w:abstractNumId w:val="14"/>
  </w:num>
  <w:num w:numId="16" w16cid:durableId="376048166">
    <w:abstractNumId w:val="6"/>
  </w:num>
  <w:num w:numId="17" w16cid:durableId="1144855329">
    <w:abstractNumId w:val="4"/>
  </w:num>
  <w:num w:numId="18" w16cid:durableId="835804039">
    <w:abstractNumId w:val="5"/>
  </w:num>
  <w:num w:numId="19" w16cid:durableId="843519205">
    <w:abstractNumId w:val="20"/>
  </w:num>
  <w:num w:numId="20" w16cid:durableId="1021512063">
    <w:abstractNumId w:val="1"/>
  </w:num>
  <w:num w:numId="21" w16cid:durableId="1977485684">
    <w:abstractNumId w:val="15"/>
  </w:num>
  <w:num w:numId="22" w16cid:durableId="1564832075">
    <w:abstractNumId w:val="18"/>
  </w:num>
  <w:num w:numId="23" w16cid:durableId="63455007">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350769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66652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2883139">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6298154">
    <w:abstractNumId w:val="10"/>
  </w:num>
  <w:num w:numId="28" w16cid:durableId="1349715539">
    <w:abstractNumId w:val="11"/>
  </w:num>
  <w:num w:numId="29" w16cid:durableId="85003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B624A"/>
    <w:rsid w:val="000E6045"/>
    <w:rsid w:val="00106DB4"/>
    <w:rsid w:val="0011394C"/>
    <w:rsid w:val="001145DB"/>
    <w:rsid w:val="00124FDB"/>
    <w:rsid w:val="0013466D"/>
    <w:rsid w:val="00136AFE"/>
    <w:rsid w:val="001503C2"/>
    <w:rsid w:val="00162F60"/>
    <w:rsid w:val="001B2933"/>
    <w:rsid w:val="001F0C80"/>
    <w:rsid w:val="00202D4D"/>
    <w:rsid w:val="0020675F"/>
    <w:rsid w:val="00213236"/>
    <w:rsid w:val="00230921"/>
    <w:rsid w:val="0023238D"/>
    <w:rsid w:val="00232FBE"/>
    <w:rsid w:val="00235440"/>
    <w:rsid w:val="00240453"/>
    <w:rsid w:val="00241930"/>
    <w:rsid w:val="00251F88"/>
    <w:rsid w:val="00254678"/>
    <w:rsid w:val="00254A46"/>
    <w:rsid w:val="002636A0"/>
    <w:rsid w:val="00276B47"/>
    <w:rsid w:val="00282E68"/>
    <w:rsid w:val="002A58B6"/>
    <w:rsid w:val="002A7247"/>
    <w:rsid w:val="002A76B1"/>
    <w:rsid w:val="002C2E8C"/>
    <w:rsid w:val="002E3D98"/>
    <w:rsid w:val="002E4AF6"/>
    <w:rsid w:val="002F179D"/>
    <w:rsid w:val="0031099B"/>
    <w:rsid w:val="00323F7E"/>
    <w:rsid w:val="003423C7"/>
    <w:rsid w:val="0036612C"/>
    <w:rsid w:val="00382D76"/>
    <w:rsid w:val="00393197"/>
    <w:rsid w:val="003A0827"/>
    <w:rsid w:val="003B07C6"/>
    <w:rsid w:val="003B4D23"/>
    <w:rsid w:val="003E4250"/>
    <w:rsid w:val="003E426C"/>
    <w:rsid w:val="003E6B70"/>
    <w:rsid w:val="004205E5"/>
    <w:rsid w:val="00422967"/>
    <w:rsid w:val="004230CC"/>
    <w:rsid w:val="00436AEC"/>
    <w:rsid w:val="00440050"/>
    <w:rsid w:val="004418BB"/>
    <w:rsid w:val="00454B8D"/>
    <w:rsid w:val="00454C47"/>
    <w:rsid w:val="0047605C"/>
    <w:rsid w:val="00476215"/>
    <w:rsid w:val="004838A2"/>
    <w:rsid w:val="0048679B"/>
    <w:rsid w:val="00496FB9"/>
    <w:rsid w:val="004B3522"/>
    <w:rsid w:val="004B523D"/>
    <w:rsid w:val="004C56B7"/>
    <w:rsid w:val="004D4EB7"/>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4133F"/>
    <w:rsid w:val="00752F07"/>
    <w:rsid w:val="0076450A"/>
    <w:rsid w:val="0077699C"/>
    <w:rsid w:val="007819C3"/>
    <w:rsid w:val="00783687"/>
    <w:rsid w:val="00786B95"/>
    <w:rsid w:val="007930BE"/>
    <w:rsid w:val="00794C82"/>
    <w:rsid w:val="007B40A4"/>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819D4"/>
    <w:rsid w:val="009B0C4A"/>
    <w:rsid w:val="009C074C"/>
    <w:rsid w:val="009D47C7"/>
    <w:rsid w:val="009F1AA7"/>
    <w:rsid w:val="009F2FE5"/>
    <w:rsid w:val="009F6115"/>
    <w:rsid w:val="009F64D1"/>
    <w:rsid w:val="00A037B5"/>
    <w:rsid w:val="00A35979"/>
    <w:rsid w:val="00A53C30"/>
    <w:rsid w:val="00A755B5"/>
    <w:rsid w:val="00A7693A"/>
    <w:rsid w:val="00A85427"/>
    <w:rsid w:val="00A96FED"/>
    <w:rsid w:val="00AA2B82"/>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E31E0"/>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04A2"/>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562C2"/>
    <w:rsid w:val="00E644F5"/>
    <w:rsid w:val="00E86572"/>
    <w:rsid w:val="00E95469"/>
    <w:rsid w:val="00EA55E1"/>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960B"/>
  <w15:docId w15:val="{F0AA1D6F-FE27-46F4-8C39-6DAFC490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ridonov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gida@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15</Pages>
  <Words>7015</Words>
  <Characters>39989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Юлия Вячеславовна Бабкина</cp:lastModifiedBy>
  <cp:revision>167</cp:revision>
  <cp:lastPrinted>2025-06-04T09:08:00Z</cp:lastPrinted>
  <dcterms:created xsi:type="dcterms:W3CDTF">2022-04-12T08:08:00Z</dcterms:created>
  <dcterms:modified xsi:type="dcterms:W3CDTF">2025-06-18T07:27:00Z</dcterms:modified>
</cp:coreProperties>
</file>