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829"/>
        <w:gridCol w:w="2693"/>
        <w:gridCol w:w="1418"/>
        <w:gridCol w:w="992"/>
      </w:tblGrid>
      <w:tr w:rsidR="00923975" w:rsidRPr="004D418A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4D418A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  <w:proofErr w:type="gramEnd"/>
            <w:r w:rsidRPr="004D418A">
              <w:rPr>
                <w:rFonts w:ascii="Times New Roman" w:hAnsi="Times New Roman"/>
                <w:bCs/>
                <w:lang w:eastAsia="en-US"/>
              </w:rPr>
              <w:t>/</w:t>
            </w:r>
            <w:proofErr w:type="spellStart"/>
            <w:r w:rsidRPr="004D418A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</w:t>
            </w:r>
            <w:proofErr w:type="gramStart"/>
            <w:r w:rsidRPr="004D418A">
              <w:rPr>
                <w:rFonts w:ascii="Times New Roman" w:hAnsi="Times New Roman"/>
                <w:bCs/>
                <w:lang w:eastAsia="en-US"/>
              </w:rPr>
              <w:t>с</w:t>
            </w:r>
            <w:proofErr w:type="gramEnd"/>
            <w:r w:rsidRPr="004D418A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E93D2B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D2B">
              <w:rPr>
                <w:rFonts w:ascii="Times New Roman" w:hAnsi="Times New Roman"/>
                <w:bCs/>
                <w:lang w:eastAsia="en-US"/>
              </w:rPr>
              <w:t>Оказание услуги по разработке проектно-сметной документации и проверке достоверности определения сметной стоимости на комплексный капитальный ремонт МБДОУ "Центр развития ребенка - детский сад № 56 "Ромашка", расположенного по адресу: пер. Гражданский, 14А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6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4D418A">
              <w:rPr>
                <w:rFonts w:ascii="Times New Roman" w:hAnsi="Times New Roman"/>
                <w:lang w:eastAsia="en-US"/>
              </w:rPr>
              <w:t>усл</w:t>
            </w:r>
            <w:proofErr w:type="spellEnd"/>
            <w:r w:rsidRPr="004D418A">
              <w:rPr>
                <w:rFonts w:ascii="Times New Roman" w:hAnsi="Times New Roman"/>
                <w:lang w:eastAsia="en-US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16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000"/>
      </w:tblPr>
      <w:tblGrid>
        <w:gridCol w:w="697"/>
        <w:gridCol w:w="3380"/>
        <w:gridCol w:w="2835"/>
        <w:gridCol w:w="2704"/>
      </w:tblGrid>
      <w:tr w:rsidR="00E93D2B" w:rsidRPr="00AE3B88" w:rsidTr="007E27B7">
        <w:tc>
          <w:tcPr>
            <w:tcW w:w="961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93D2B">
              <w:rPr>
                <w:rFonts w:ascii="Times New Roman" w:hAnsi="Times New Roman"/>
                <w:szCs w:val="20"/>
              </w:rPr>
              <w:t>ЗАДАНИЕ НА ПРОЕКТИРОВАНИЕ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D2B">
              <w:rPr>
                <w:rFonts w:ascii="Times New Roman" w:hAnsi="Times New Roman"/>
              </w:rPr>
              <w:t xml:space="preserve">Разработка проектно-сметной документации на капитальный ремонт МБДОУ «Центр развития ребенка – детский сад №56 «Ромашка», расположенного по адресу: пер. Гражданский, 14а в </w:t>
            </w: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 w:rsidRPr="00E93D2B">
              <w:rPr>
                <w:rFonts w:ascii="Times New Roman" w:hAnsi="Times New Roman"/>
              </w:rPr>
              <w:t>г</w:t>
            </w:r>
            <w:proofErr w:type="gramEnd"/>
            <w:r w:rsidRPr="00E93D2B">
              <w:rPr>
                <w:rFonts w:ascii="Times New Roman" w:hAnsi="Times New Roman"/>
              </w:rPr>
              <w:t>. Рубцовске.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Перечень  основных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 требований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3</w:t>
            </w:r>
          </w:p>
        </w:tc>
      </w:tr>
      <w:tr w:rsidR="00E93D2B" w:rsidRPr="00AE3B88" w:rsidTr="007E27B7">
        <w:trPr>
          <w:trHeight w:val="535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1. ОБЩИЕ ДАННЫЕ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«Поддержка семьи» Национального проекта</w:t>
            </w:r>
            <w:bookmarkStart w:id="0" w:name="_GoBack"/>
            <w:bookmarkEnd w:id="0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«Семья» по реализации мероприятий по капитальному ремонту зданий дошкольных образовательных организаций 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МБДОУ «Центр развития ребенка – детский сад №56 «Ромашка»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658200, Алтайский край, город Рубцовск, </w:t>
            </w:r>
            <w:proofErr w:type="spellStart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переулокГражданский</w:t>
            </w:r>
            <w:proofErr w:type="spellEnd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, 14А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Функциональное назначение – дошкольное образовательное учреждение (детский сад).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2-х этажное здание 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постройки 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здания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Надземных этажей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Подземных этажей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территории детского сада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1986 г.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2494,1 м</w:t>
            </w:r>
            <w:proofErr w:type="gramStart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2 этажа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0 этаж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10961 м</w:t>
            </w:r>
            <w:proofErr w:type="gramStart"/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22:70:021135:31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Сроки начала и окончания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>2025 – 202</w:t>
            </w:r>
            <w:r w:rsidRPr="00E93D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E93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E93D2B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Местный бюджет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Заказчик предоставляет Подрядчику:</w:t>
            </w:r>
          </w:p>
          <w:p w:rsidR="00E93D2B" w:rsidRPr="00E93D2B" w:rsidRDefault="00E93D2B" w:rsidP="00E93D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2. Паспорт здания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Срок предоставления ИРД не входит в срок выполнения проектных работ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Класс пожарной опасности зданий – в соответствии с действующим законодательством.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Уровень ответственности - в соответствии с действующим законодательством.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Степень огнестойкости – в соответствии с действующим законодательством.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Природно-климатические условия строительства: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 - климатический район строительства I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снеговой район I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ветровой район I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</w:p>
        </w:tc>
      </w:tr>
      <w:tr w:rsidR="00E93D2B" w:rsidRPr="00AE3B88" w:rsidTr="007E27B7">
        <w:trPr>
          <w:trHeight w:val="29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 ОСНОВНЫЕ ТРЕБОВАНИЯ К ПРОЕКТНЫМ РЕШЕНИЯМ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В составе проектной документации разработать следующие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необходимые разделы: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1. Пояснительная записка.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3. Архитектурные решения.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4. Конструктивные и объемно-планировочные решения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5.1. Система электроснабжения.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5.2. Система водоснабжения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5.3. Система водоотведения.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5.4. Система отопления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5.5. Вентиляция.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5.6. Сети связи.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5.7. Технологические решения.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6. ПОКР (проект организации капитального ремонта)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9. Мероприятия по обеспечению пожарной безопасности:  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Адресная система автоматической пожарной сигнализации,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-Система оповещения и управления эвакуацией людей при пожаре,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-Система противопожарного водопровода,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-Противопожарные преграды.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10. Мероприятия по обеспечению доступа инвалидов и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групп населения.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11. Сметная документация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действующего законодательства РФ.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 составе рабочей документации следующие разделы: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ГП – генеральный план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АС – архитектурно-строительные решения.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ЭОМ – внутреннее электрооборудование и электроосвещение.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ВК – внутренний водопровод и канализация.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ОВиК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– отопление, вентиляция, кондиционирование.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ТХ – технологические решения;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СС – сети связи.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– сметная документация.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Схема планировочной организации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Проектом предусмотреть: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асфальтобетонную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отмостку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здания;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Проектом предусмотреть капитальный ремонт существующего здания в соответствии с условиями настоящего задания. </w:t>
            </w:r>
          </w:p>
          <w:p w:rsidR="00E93D2B" w:rsidRPr="00E93D2B" w:rsidRDefault="00E93D2B" w:rsidP="00E93D2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Общие указания: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Функциональное назначение помещений принять без изменений.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За основу принять существующую коридорную систему планировки, отвечающую назначению здания.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 рамках капитального ремонта выполнить перепланировку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по согласованию с Заказчиком в соответствии с действующей нормативно-технической документацией по доступности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групп населения.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Выполнить утепление цоколя.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Разработать мероприятия для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групп населения, включая устройство пандусов, переоборудование санузлов, входа в групповые помещения, пребывание МГН предусматривается только на первом этаже здания.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Сообщения между этажами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По фасадам здания предусмотреть: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ремонт стен и цоколя;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облицовка фасада металлическими кассетами (цветовые решения согласовать с заказчиком),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выполнить теплотехнический расчет по результатам при необходимости выполнить утепление;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ремонт (в случае необходимости замена) лестниц, в том числе наружных открытых лестниц, предназначенных для эвакуации людей из здания в случае пожара, приямков, навесов;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замену деревянных оконных блоков на блоки ПВХ, согласно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действующей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НТД.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замену входных дверей и внутренних дверей эвакуационных выходов согласно нормативной технической документации, актуальной на дату проектирования. Материал дверей наружные - металлические, внутренние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еталлические (из алюминиевого профиля со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светопрозрачным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заполнением верхней части).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 Отделочные работы: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4.1. Предусмотреть отделку всех помещений в соответствии с их функциональным назначением.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Для внутренней отделки применяются современные эффективные отделочные материалы. Отделочные материалы на путях эвакуации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степенью пожарной опасности. Выбор материалов для отделки помещений согласовать с заказчиком.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4.2. Основные помещения, группы: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– покрытие пола – гетерогенный линолеум в соответствии с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функциональным назначением помещени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класс пожарной опасности не более КМ0 – стены и потолок и КМ1 – покрытие пола);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– стены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екоративная штукатурка  Меридиан "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AquaDecor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" в 2 слоя с колеровкой, покрытие лаком "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AquaDecor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" глянец;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– потолок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>одвесной типа «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4.3. Коридоры, рекреации: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– полы –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керамогранит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– стены – декоративная штукатурка  Меридиан "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AquaDecor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" в 2 слоя с колеровкой, покрытие лаком "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AquaDecor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" глянец;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– потолок – подвесной типа «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4.4. Лестничные клетки: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– полы -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керамогранитная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плитка, восстановление поверхности ступеней полимерными составами;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– стены – декоративная штукатурка  Меридиан "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AquaDecor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" в 2 слоя с колеровкой, покрытие лаком "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AquaDecor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" глянец;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4.5. Технические помещения: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– полы – керамическая плитка;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– стены – окраска водоэмульсионная;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 потолок – подвесной типа «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» влагостойкий;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4.6. Пищеблок: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полы, стены - керамическая плитка;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потолок - подвесной типа «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>лагостойкий;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4.7. Санузлы: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полы, стены - керамическая плитка;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потолок – подвесной типа «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» влагостойкий;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4.8. Бассейн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-полы, стены – керамическая плитка,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-потолок – подвесной типа «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» влагостойкий,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-чаша бассейна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>огласно НТД, актуальной на дату проектирования.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-сауна - согласно НТД,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актуальной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на дату проектирования.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-зал сухого плавания – выбор материалов согласовать с заказчиком.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устройство фильтров с выведением оборудования в отдельное помещение, согласно НТД,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актуальной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на дату проектирования.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Отделка помещений должна соответствовать пожарным требованиям.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Раздел ТХ согласовать с Заказчиком.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4.8. Кровля.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Выполнить замену покрытия мягкой кровли на скатную, запроектировать стропильную систему, покрытие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металлочерепицей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, замену водосточной системы, ремонт кирпичной кладки), предусмотреть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молниезащиту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4.9. Благоустройство территории и МАФ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тротуарное покрытие – асфальтобетонное,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площадки–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>фальтобетонное покрытие с резиновой крошкой, озеленение, замена теневых навесов на современные, соответствующие нормативной документации, устройство детских игровых платформ, игровой мебели, балансиров, скамеек, песочниц и т.д.(выбор МАФ согласовать с Заказчиком);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ограждение – металлические решетчатые секции (размер и толщина, согласно нормативной документации)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оборудование территории для возможности проезда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групп населения. 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Документации разработать в соответствии действующих строительных норм, в том числе:</w:t>
            </w:r>
          </w:p>
          <w:p w:rsidR="00E93D2B" w:rsidRPr="00E93D2B" w:rsidRDefault="00E93D2B" w:rsidP="00E93D2B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E93D2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lastRenderedPageBreak/>
              <w:t xml:space="preserve">- Санитарных правил и норм </w:t>
            </w:r>
            <w:proofErr w:type="spellStart"/>
            <w:r w:rsidRPr="00E93D2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СанПиН</w:t>
            </w:r>
            <w:proofErr w:type="spellEnd"/>
            <w:r w:rsidRPr="00E93D2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2;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Федерального закона от 30.12.2009 № 384-ФЗ «Технический регламент о безопасности зданий и сооружений»; 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«Каменные и армокаменные конструкции»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«Стальные конструкции»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«Основания зданий и сооружений»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«Бетонные и железобетонные конструкции. Основные положения»;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«Защита строительных конструкций от коррозии»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«Строительство в сейсмических районах»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Проектом предусмотреть капитальный ремонт здания и систем инженерно-технического обеспечения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аналогичные.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полную замену системы внутреннего электрооборудования розеточную и осветительную сеть здания, включая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замену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ВРУ и т.д. в соответствии с действующими НТД. ВРУ предусмотреть на 1 этаже здания детского сада.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электроснабжения: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>предусмотреть электроснабжение объекта от существующего источника.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Молниезащита</w:t>
            </w:r>
            <w:proofErr w:type="spell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и заземление: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устройство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молниезащиты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здания в соответствии с ПУЭ и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действующими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НТД.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Заземление и защитные меры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электробезопасности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выполнить в соответствии с ПУЭ в действующей редакции, НТД.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Кабельная продукция: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Электроосвещение: с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>ветильники эвакуационного освещения должны быть отмечены в соответствии с ПУЭ и НТД.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Эвакуационное освещение выполнить в соответствии с действующим законодательством.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Во влажных помещениях применить влагозащищенные устройства.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Выполнить устройство сетей наружного электроосвещения.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Подключение выполнить в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электрощитовой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здания детского сада.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Выполнить расчет освещенности.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Светильники использовать светодиодные срок эксплуатации не менее 5 лет в соответствии с НТД.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93D2B">
              <w:rPr>
                <w:rFonts w:ascii="Times New Roman" w:hAnsi="Times New Roman"/>
                <w:sz w:val="20"/>
                <w:szCs w:val="20"/>
                <w:lang w:bidi="hi-IN"/>
              </w:rPr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Система холодного  водоснабжения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Источником холодного водоснабжения здания принять существующий ввод холодного водоснабжения,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пожаро-хозяйственный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водопровод.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Проектом предусмотреть устройство поливочных кранов.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Для систем, принять разводку из труб в соответствии с НТД. Системы водоснабжения оборудовать необходимой запорной и регулирующей арматурой.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Запорную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арматура разместить в местах, удобных для обслуживания. На стояках установить запорную арматуру для отключения, а также штуцера с запорной арматурой для спуска воды в соответствии с НТД.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установку прибора учета холодного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 с контрольно- измерительными приборами.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канализование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здания посредством замененных в соответствии с НТД выпусков, подключенных к ближайшим  канализационным колодцам.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Предусмотреть устройство систем: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в соответствии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действующей НТД.</w:t>
            </w:r>
          </w:p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E93D2B" w:rsidRPr="00AE3B88" w:rsidTr="007E27B7">
        <w:trPr>
          <w:trHeight w:val="60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93D2B">
              <w:rPr>
                <w:rFonts w:ascii="Times New Roman" w:hAnsi="Times New Roman"/>
                <w:sz w:val="20"/>
                <w:szCs w:val="20"/>
                <w:lang w:bidi="hi-IN"/>
              </w:rPr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Теплоснабжение детского сада выполнить по независимому подключению к центральной системе теплоснабжения.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ИТП (индивидуального теплового пункта) выполнить с АТП (автоматизированный тепловой пункт) с </w:t>
            </w:r>
            <w:proofErr w:type="spellStart"/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погода-зависимым</w:t>
            </w:r>
            <w:proofErr w:type="spellEnd"/>
            <w:proofErr w:type="gram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регулированием системы теплопотребления. Предусмотреть наличие резервного теплообменника на независимую систему отопления детского сада. Предусмотреть наличие резервного теплообменника на независимую систему ГВС с рециркуляцией. Предусмотреть автоматизацию АТП в соответствии с </w:t>
            </w:r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действующими</w:t>
            </w:r>
            <w:proofErr w:type="gram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НТД.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Устройство ИТП выполнить в подвале детского сада.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  На вводе в АТП предусмотреть узел учета тепловой энергии. Выполнить проектно-сметную документацию узла учета тепловой энергии.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  Параметры теплоносителя из тепловых сетей принять  в соответствии с температурным графиком 114/70 регулирования сетевой воды для источника Южная тепловая станция вывод №2.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Параметры для системы отопления Т1 = 95</w:t>
            </w:r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°С</w:t>
            </w:r>
            <w:proofErr w:type="gram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; Т2 =70 °С;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Циркуляционные насосы системы отопления и ГВС, должны иметь 100% резерв.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Конструкцию насосов предусмотреть с «мокрым» ротором.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 В обязательном порядке в составе документации представить, расчёт выбора насосов.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Система отопления – двухтрубная, вертикальная.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      Удаление воздуха из системы отопления предусмотреть </w:t>
            </w:r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через</w:t>
            </w:r>
            <w:proofErr w:type="gram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автоматические </w:t>
            </w:r>
            <w:proofErr w:type="spell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воздухоотводчики</w:t>
            </w:r>
            <w:proofErr w:type="spell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Автоматические </w:t>
            </w:r>
            <w:proofErr w:type="spell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воздухоотводчики</w:t>
            </w:r>
            <w:proofErr w:type="spell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установить на шаровые краны.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    Нижние точки сетей оснастить запорной арматурой для спуска воды.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    Проект на оборудование узла учета тепловой энергии должен выполняться в соответствии </w:t>
            </w:r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действующими</w:t>
            </w:r>
            <w:proofErr w:type="gram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НТД.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Предусмотреть покраску магистрали и стояков от коррозии, в соответствии с НТД.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Систему отопления и ГВС оборудовать необходимой запорной и регулирующей арматурой. </w:t>
            </w:r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Запорную</w:t>
            </w:r>
            <w:proofErr w:type="gram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арматура разместить в местах, удобных для обслуживания.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В проекте для разводящих трубопроводов системы отопления проходящей под полом предусмотреть для этих трубопроводов технологические каналы со съемными </w:t>
            </w: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крышками для производства работ по обслуживанию и ремонту трубопроводов и запорной арматуры.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На случаи прекращения работы ГВС в связи с аварийными отключениями, в весенний и осенний период, предусмотреть </w:t>
            </w:r>
            <w:proofErr w:type="gramStart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>резервное</w:t>
            </w:r>
            <w:proofErr w:type="gramEnd"/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t xml:space="preserve"> ГВС в соответствии с действующей НТД от емкостных водонагревателей объемом не более 100 литров.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Выполнить вентиляцию, принудительную приточно-вытяжную вентиляцию в помещениях согласно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действующей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НТД.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Система пожарной безопасности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Выполнить документацию согласно действующему законодательству, в том числе Федеральному закону от 22.07.2008 № 123-ФЗ «Технический регламент о требованиях пожарной безопасности». 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E93D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Предусмотреть: 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 xml:space="preserve">описание </w:t>
            </w:r>
            <w:proofErr w:type="gramStart"/>
            <w:r w:rsidRPr="00E93D2B">
              <w:rPr>
                <w:rFonts w:ascii="Times New Roman" w:hAnsi="Times New Roman" w:cs="Times New Roman"/>
                <w:szCs w:val="20"/>
              </w:rPr>
              <w:t>системы обеспечения пожарной безопасности объекта капитального строительства</w:t>
            </w:r>
            <w:proofErr w:type="gramEnd"/>
            <w:r w:rsidRPr="00E93D2B">
              <w:rPr>
                <w:rFonts w:ascii="Times New Roman" w:hAnsi="Times New Roman" w:cs="Times New Roman"/>
                <w:szCs w:val="20"/>
              </w:rPr>
              <w:t>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описание и обоснование проектных решений по обеспечению безопасности людей при возникновении пожара;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перечень мероприятий по обеспечению безопасности подразделений пожарной охраны при ликвидации пожара;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сведения о категории зданий, сооружений, помещений, оборудования и наружных установок по признаку взрывопожарной и пожарной опасности;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 xml:space="preserve">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</w:t>
            </w:r>
            <w:proofErr w:type="spellStart"/>
            <w:r w:rsidRPr="00E93D2B">
              <w:rPr>
                <w:rFonts w:ascii="Times New Roman" w:hAnsi="Times New Roman" w:cs="Times New Roman"/>
                <w:szCs w:val="20"/>
              </w:rPr>
              <w:lastRenderedPageBreak/>
              <w:t>противодымной</w:t>
            </w:r>
            <w:proofErr w:type="spellEnd"/>
            <w:r w:rsidRPr="00E93D2B">
              <w:rPr>
                <w:rFonts w:ascii="Times New Roman" w:hAnsi="Times New Roman" w:cs="Times New Roman"/>
                <w:szCs w:val="20"/>
              </w:rPr>
              <w:t xml:space="preserve"> защиты);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описание организационно-технических мероприятий по обеспечению пожарной безопасности объекта капитального строительства;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E93D2B">
              <w:rPr>
                <w:rFonts w:ascii="Times New Roman" w:hAnsi="Times New Roman" w:cs="Times New Roman"/>
                <w:b/>
                <w:szCs w:val="20"/>
              </w:rPr>
              <w:t xml:space="preserve">в графической части предусмотреть: 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      </w:r>
          </w:p>
          <w:p w:rsidR="00E93D2B" w:rsidRPr="00E93D2B" w:rsidRDefault="00E93D2B" w:rsidP="00E93D2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93D2B">
              <w:rPr>
                <w:rFonts w:ascii="Times New Roman" w:hAnsi="Times New Roman" w:cs="Times New Roman"/>
                <w:szCs w:val="20"/>
              </w:rPr>
              <w:t>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93D2B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Особые требования: 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/>
                <w:sz w:val="20"/>
                <w:szCs w:val="20"/>
              </w:rPr>
              <w:t>Адресная система автоматической пожарной сигнализации: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Style w:val="s2"/>
                <w:rFonts w:ascii="Times New Roman" w:hAnsi="Times New Roman"/>
                <w:sz w:val="20"/>
                <w:szCs w:val="20"/>
              </w:rPr>
              <w:t>При проектировании работ по капитальному ремонту учесть работы по демонтажу и монтажу оборудования существующей системы в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 xml:space="preserve"> соответствии с действующим законодательством.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/>
                <w:sz w:val="20"/>
                <w:szCs w:val="20"/>
              </w:rPr>
              <w:t>Система оповещения и управления эвакуацией людей при пожаре: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Систему оповещения и управления эвакуацией людей при пожаре выполнить в соответствии с действующим законодательством.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/>
                <w:sz w:val="20"/>
                <w:szCs w:val="20"/>
              </w:rPr>
              <w:t xml:space="preserve">Система противопожарного водопровода: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систему противопожарного водопровода с установкой задвижки с электроприводом и её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и управление в соответствии с действующим законодательством.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D2B">
              <w:rPr>
                <w:rFonts w:ascii="Times New Roman" w:hAnsi="Times New Roman"/>
                <w:b/>
                <w:sz w:val="20"/>
                <w:szCs w:val="20"/>
              </w:rPr>
              <w:t xml:space="preserve">Противопожарные преграды: 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Предусмотреть установку противопожарных преград в соответствии с действующим законодательством.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3D2B">
              <w:rPr>
                <w:rFonts w:ascii="Times New Roman" w:eastAsia="Calibri" w:hAnsi="Times New Roman"/>
                <w:sz w:val="20"/>
                <w:szCs w:val="20"/>
              </w:rPr>
              <w:t xml:space="preserve">Предусмотреть согласование систем пожарной безопасности и антитеррористической защищенности: в том числе автоматического открывания и закрывания входных дверей (установка электронных замков) (в том числе на эвакуационных выходах) в случае </w:t>
            </w:r>
            <w:proofErr w:type="spellStart"/>
            <w:r w:rsidRPr="00E93D2B">
              <w:rPr>
                <w:rFonts w:ascii="Times New Roman" w:eastAsia="Calibri" w:hAnsi="Times New Roman"/>
                <w:sz w:val="20"/>
                <w:szCs w:val="20"/>
              </w:rPr>
              <w:t>сработки</w:t>
            </w:r>
            <w:proofErr w:type="spellEnd"/>
            <w:r w:rsidRPr="00E93D2B">
              <w:rPr>
                <w:rFonts w:ascii="Times New Roman" w:eastAsia="Calibri" w:hAnsi="Times New Roman"/>
                <w:sz w:val="20"/>
                <w:szCs w:val="20"/>
              </w:rPr>
              <w:t xml:space="preserve"> автоматической пожарной сигнализации, системы охранной сигнализации, системы контроля управления доступом при чрезвычайной ситуации террористического характера либо в случае </w:t>
            </w:r>
            <w:proofErr w:type="gramStart"/>
            <w:r w:rsidRPr="00E93D2B">
              <w:rPr>
                <w:rFonts w:ascii="Times New Roman" w:eastAsia="Calibri" w:hAnsi="Times New Roman"/>
                <w:sz w:val="20"/>
                <w:szCs w:val="20"/>
              </w:rPr>
              <w:t>эвакуации</w:t>
            </w:r>
            <w:proofErr w:type="gramEnd"/>
            <w:r w:rsidRPr="00E93D2B">
              <w:rPr>
                <w:rFonts w:ascii="Times New Roman" w:eastAsia="Calibri" w:hAnsi="Times New Roman"/>
                <w:sz w:val="20"/>
                <w:szCs w:val="20"/>
              </w:rPr>
              <w:t xml:space="preserve"> в том числе для эвакуации людей при пожаре.</w:t>
            </w:r>
          </w:p>
          <w:p w:rsidR="00E93D2B" w:rsidRPr="00E93D2B" w:rsidRDefault="00E93D2B" w:rsidP="00E93D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Предусмотреть установку приборов на стенах, перегородках и конструкциях, изготовленных из негорючих материалов.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Сети связи: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1. Предусмотреть в здании восстановление существующих сетей радиофикации, телефонизации, локально-вычислительной сети после проведения капитального ремонта.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Локально-вычислительную сеть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ыполнить в соответствии с действующим законодательством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Отдельным разделом предусмотреть мероприятия по обеспечению антитеррористической защищенности: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Предусмотреть и выполнить в соответствии с действующим законодательством, в том числе с «Требованиями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утвержденными Постановлением Правительства РФ от 02.08.2019 № 1006, «Рекомендациями по оборудованию инженерно-техническими средствами охраны социально значимых объектов (территорий), находящихся в сфере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деятельности Министерства просвещения Российской Федерации Федерального казённого учреждения «Научно-исследовательский центр «Охрана» федеральной службы войск национальной гвардии Российской Федерации»: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оснащение системой передачи тревожных сообщений в подразделения войск национальной гвардии Российской Федерации;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автономную систему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ситуации, оборудованную источником бесперебойного питания;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оснащение объекта и территории системой наружного освещения;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оснащение объекта и территории системами видеонаблюдения.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Система должна обеспечивать осмотр всего периметра здания, прилегающей территории, групповых площадок.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установку камер видеонаблюдения при входе в актовый зал, в самих помещениях, а также при входе в помещениях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электрощиотовой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теплоузла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, узел водоснабжения, расположенных в подвале.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оснащение объекта (территории) системой охранной сигнализации;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- оборудование на 1-м этаже помещения для охраны с установкой в нем систем видеонаблюдения, охранной сигнализации, автономной системы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ситуации,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Федерации), автоматической пожарной сигнализации, системы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оповещения и управления эвакуацией при пожаре;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оснащение стационарными или ручными металлоискателями;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системы контроля и управления доступом.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>редусмотреть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оснащение входных ворот и калитки на ограждаемую территорию системой контроля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доступа: сигнализацией, переговорными устройствами,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видеодомофонами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, обеспечивая связь между посетителем и постом охраны.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оборудование ограждения территории высотой порядка 2,5 м.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Предусмотреть согласование систем пожарной безопасности и антитеррористической защищенности: в том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числеавтоматического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открывания и закрывания входных дверей (установка электронных замков) (в том числе на эвакуационных выходах) в случае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сработкиавтоматической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пожарной сигнализации, системы охранной сигнализации, системы контроля управления доступом при чрезвычайной ситуации террористического характера либо в случае эвакуации в том числе, для эвакуации людей при пожаре.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Перед началом работ по проектированию Исполнителю необходимо провести обследование здания.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Применяемые проектные решения необходимо предварительно согласовать с Заказчиком.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Состав работ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Требования к составу работ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Состав проектно-сметной документации на создание ЛВС: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1. План помещений и размещенного в них оборудования.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2. Спецификация оборудования.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 Пояснительная записка с техническим описанием оборудования, и расчетом емкости резервных источников питания.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4. Структурная (скелетная) схема.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5. Схема прокладки кабельных линий.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6. Таблица соединений и подключений оборудования в коммутационных шкафах;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7. Сметный расчет стоимости оборудования и выполняемых работ.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Проектная документация должна содержать требования к качеству, техническим характеристикам, функциональным характеристикам (потребительским свойствам) товара, который будет использован при проведении работ.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Проектная документация может содержать указание на товарные знаки используемого для работ товара. В случае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если в проектной документации содержится указание на товарные знаки в отношении товаров, происходящих из иностранного государства или группы иностранных государств, также должно содержать указание на товарный знак в отношении товара российского происхождения (при наличии информации о товаре российского происхождения, являющемся эквивалентом товара, происходящего из иностранного государства или группы иностранных государств).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При указании в проектной документации на товарные знаки они должны сопровождаться словами «или эквивалент», за исключением случаев несовместимости товаров, на которых размещаются другие товарные знаки, необходимости обеспечения взаимодействия таких товаров с товарами, используемыми Заказчиком. При этом в проектной документации должны содержаться технические характеристики, функциональные характеристики (потребительские свойства) товара, позволяющие определить его эквивалентность.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 Требования для разработки проектно-сметной документации на создание локальной вычислительной сети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3.1. Требования к горизонтальной подсистеме этажа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Горизонтальная подсистема покрывает пространство между 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информационной розеткой на рабочем месте и горизонтальным кроссом в телекоммуникационном шкафу. Она состоит из горизонтальных кабелей, информационных розеток и части горизонтального кросса, которая обслуживает горизонтальный кабель. Каждый этаж должен обслуживаться своей собственной горизонтальной подсистемой (уточняется на стадии проектирования).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Горизонтальная подсистема должна быть выполнена с использованием 4-парного кабеля «неэкранированная витая пара» 100 Ом категория не ниже 5e. Кабель должен удовлетворять следующим требованиям: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должен соответствовать международным стандартам EIA/TIA 568-B.2-1, ISO/IEC 11801; IEC 61156-5, IEC 60332-3-22, IEC 60754-1 и 2, IEC 61034-1 и 2;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проводники – цельнотянутая медная жила диаметром 0.57 мм (23 AWG), диаметр изоляции проводника 1.01 мм;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сопротивление по постоянному току не более 93.8 Ом/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км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(при 20 °С)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волновое сопротивление 100±15 Ом (до 100 МГц)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внешний диаметр кабеля 6,1 мм, материал оболочки ПВХ, LSZH;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температура эксплуатации от -20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°С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до +75°С;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- минимальный радиус изгиба при эксплуатации не более 25 мм, допустимое усилие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тяжения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не менее 110 Н.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вес кабеля не более 40 кг/км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Характеристики пожарной безопасности: Вертикальное распространение пламени (групповая прокладка)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-</w:t>
            </w:r>
            <w:proofErr w:type="spellStart"/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нг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(А) – категория А (согласно ГОСТ Р МЭК 60332-3-22-2011)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Токсичность продуктов горения Нет (согласно ГОСТ 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МЭК 60754-1-2011 и -2-2011)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Оптическая плотность дыма не более 40% (согласно ГОСТ 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МЭК 61034-2-2011)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Класс пожарной опасности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П1б.8.1.2.1 (согласно ГОСТ 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cr/>
              <w:t>1565-2012)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Горизонтальная подсистема должна иметь топологическую конфигурацию «звезда». Максимальная протяженность любого горизонтального кабельного сегмента не должна превышать 90м.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Все кабели разводятся на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патч-панели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, устанавливаемые в 19-дюймовых монтажных шкафах.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Кроссы горизонтальной подсистемы должны иметь возможность увеличения количества портов структурированной кабельной системы не менее чем на 15 %. Медные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патч-панели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должны удовлетворять следующим требованиям: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- должны быть предназначены для монтажа в 19-дюймовый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конструктив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, высота панели - 1U/2U;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материал – металл, ёмкость панели – 24/48 порта RJ-45;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должны иметь задний кабельный органайзер для крепления кабелей;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каждый порт панели должен быть пронумерован спереди и сзади. Так же должно быть предусмотрено место для маркировки портов на лицевой части панели;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-должны иметь универсальную конструкцию для возможности использования с экранированным и неэкранированным типами кабельной проводки.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3.2. Требования к подсистеме рабочих мест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Подсистема рабочего места предназначена для подключения конечных потребителей (компьютеров, терминалов, принтеров, телефонов и т. д.) к ЛВС. Включает в себя коммутационные шнуры, адаптеры, а также устройства, позволяющие подключать оконечное оборудование к сети через информационную розетку.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На рабочих местах пользователей должны быть установлены информационные розетки структурированной кабельной системы с 2-мя (либо 3-мя) неэкранированными модульными разъемами категории не ниже 5e. Количество разъемов для подключения оргтехники, в переговорных комнатах и других местах определить при разработке технического задания. Информационные розетки могут быть установлены в настенные короба, скрытой проводкой за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фальшстенами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либо на потолочные колонны (в случае установки розеточных модулей в центре помещения). Место установки розеточных модулей определяется по согласованию с заказчиком на стадии проектирования и с учетом поэтажных планов здания.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Необходимо укомплектовать каждое рабочее место коммутационным шнуром категории 5e с разъемами RJ45 в количестве не менее 1 штуки. Коммутационные шнуры должны удовлетворять следующим требованиям: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- Должны быть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оконцованы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с двух сторон в заводских условиях. Вид разъемов - модульная вилка RJ45, неэкранированная, число пар 4, категории 5e.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Схема разводки проводников T568B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Обратная совместимость с компонентами категорий 5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- Цвет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белый\серый</w:t>
            </w:r>
            <w:proofErr w:type="spell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Предварительное размещение рабочих мест ЛВС и способ установки комплектов розеток (в кабельный канал, на стену, в стену и т.д.) указаны в Таблице.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Этаж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Кол-во рабочих мест/портов 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Способ установки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комплектов розеток 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Размещение центра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коммутации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9/26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В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кабельный канал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Серверная комната.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1 этаж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Дополнительно предусмотреть возможность размещения в помещениях общего пребывания (Игровые комнаты, музыкальный зал и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.д</w:t>
            </w:r>
            <w:proofErr w:type="spellEnd"/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) точек доступа беспроводной сети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Wi-Fi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.  Беспроводные точки доступа должны обеспечивать работы беспроводной сети в частотных диапазонах 5ГГц, 2,4ГГц.  Беспроводная сеть должна обеспечивать техническую возможность быстрого (время переключения менее 50 мс) роуминга между точками доступа. Питание точек доступа должно осуществляться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c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 помощью технологии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PoE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PoweroverEthernet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3.3. Требования к административной (вертикальной) подсистеме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Административная подсистема включает в себя коммутационные шнуры, с помощью которых происходит физическое соединений линий подсистем, подключенных к коммутационным панелям.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Для коммутации горизонтальной подсистемы должны использоваться специальные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патчкорды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со стандартными 8-ми контактными разъемами RJ45-RJ45, используемые для выбранной подсистемы интерактивного управления инфраструктурой структурированной кабельной системы.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Коммутационные шнуры должны удовлетворять следующим требованиям: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- Должны быть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оконцованы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с двух сторон в заводских условиях. Вид разъемов - модульная вилка RJ45, экранированная 8-позиционная, 8-контактная, категории не ниже 6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Должны соответствовать международным стандартам ISO/IEC 11801, TIA-568-C.2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- Проводники – многожильные медные размером не менее 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7x0.2 мм, диаметр изоляции проводника не менее 1 мм.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Внешний диаметр кабеля не менее 6 мм, материал оболочки ПВХ, LSZH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Температура эксплуатации от -20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°С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до +75°С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Прочность на разрыв не менее 90 Н, количество циклов коммутации не менее 750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- Длина коммутационного шнура не менее 0,5 метров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Маркировка элементов кабельной системы должна выполняться в соответствии со стандартом ANSI/TIA/EIA 606 и должна быть 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легко доступна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и читаема в течение всего срока эксплуатации системы. Систему маркировки элементов структурированной кабельной системы разработать на стадии развития.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Розеточные модули, расположенные в информационной розетке, должны располагаться на коммутационной панели рядом друг с другом (принцип непрерывности).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Распределение коммутационных шнуров по длинам должно обеспечивать возможность формирования отдельных трактов передачи без образования петель при полной загрузке коммутационного поля.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Вертикальная подсистема обеспечивает связь этажных (горизонтальных) кроссов здания с центральным кроссом структурированной кабельной системы.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3.4. Требования к резервированию и надежности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Резервирование структурированной кабельной системы должно производиться на уровне магистральных подсистем.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Резервные кабели должны прокладываться по кабельным трассам, пространственно разнесенным от трасс прокладки основных кабелей. Емкость резервных кабелей по количеству волокон и витых пар должна соответствовать емкости резервируемых кабелей.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Коммутационные панели и полки резервных линий должны располагаться в монтажных шкафах таким образом, чтобы коммутация на них осуществлялась штатными коммутационными шнурами.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Структурированная кабельная система должна обеспечивать постоянные физические характеристики тракта между портом активного оборудования и абонентским (терминальным) оборудованием вне зависимости от трассы коммутации на коммутационном и кроссовом поле (кроссовых полях).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Постоянство физических параметров тракта должно обеспечиваться при последующих изменениях конфигурации кабельной системы при максимальном количестве циклов подключения-отключения по Техническим условиям производителя кабельной системы, но не менее 250 таких циклов.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Разрыв соединения по тракту структурированной кабельной системы должен осуществляться только отключением коммутационных шнуров на коммутационном поле.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Используемые в структурированной кабельной системе оборудование и материалы не должны допускать изменений физико-химических параметров в результате воздействия окружающей среды за пределы, предусмотренные стандартами структурированной кабельной системы, в течение всего срока эксплуатации кабельной системы (не менее 15 лет) при условии соблюдения заданных параметров окружающей среды.</w:t>
            </w:r>
            <w:proofErr w:type="gram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3.5. Требования к системе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кабелепроводов</w:t>
            </w:r>
            <w:proofErr w:type="spellEnd"/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Система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кабелепроводов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должна включать в себя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пластиковые кабельные каналы для прокладки кабелей 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внутри помещений;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металлические лотки для прокладки кабелей по коридорам зданий за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фальшпотолком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гофрированные трубки для прокладки кабелей за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фальшстенами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и через сквозные отверстия (закладные) в стенах.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Пластиковые кабельные каналы должны иметь гигиенические сертификаты и сертификаты пожарной безопасности. Емкость кабельных каналов следует рассчитывать исходя из 40% заполнения. В рабочих помещениях следует использовать кабельные каналы единого сечения. Необходимо использовать сопутствующие элементы (внутренние, внешние, плоские углы, заглушки и т.д.) того же производителя, что и самих кабельных каналов.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При отсутствии в коридорах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фальшпотолка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или свободного места за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фальшпотолоком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для прокладки металлического лотка, допускается установка магистрального пластикового канала, что определяется на стадии проектирования. Магистральные каналы должны быть снабжены внутренними перегородками и держателями, сечение должно позволять прокладку всех кабелей с заполнением 50% в месте наибольшего сосредоточения прокладываемых кабелей.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При отсутствии возможности установки металлических лотков и магистральных пластиковых каналов допускается прокладка кабельной магистрали в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гофротрубе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с креплением клипсами к потолочному перекрытию, что также определяется на стадии проектирования.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Недопустима замена одного канала большего размера несколькими параллельными каналами меньшего размера.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При наличии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фальшпотолка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следует использовать металлический лоток перфорированного или сетчатого типа. Заполнение лотка должно быть не более 50%. Металлические конструкции лотков должны быть заземлены. Для обеспечения требований электромагнитной совместимости расстояние между лотками структурированной кабельной системы и электрики должно быть не менее 500 мм.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При выполнении скрытой проводки за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фальшстенами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кабели СКС должны прокладываться в гофрированных трубках отдельно от силовых кабелей.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3.6. Требования к активному оборудованию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Создание ЛВС должно быть обеспечено коммутаторами со следующими техническими характеристиками: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Порты: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10/100/1000BaseT - не менее 24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выделенный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out-of-band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10/100BaseT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Ethernet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порт управления – 1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Максимальное количество хранимых MAC адресов - не менее 16000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Максимальное количество </w:t>
            </w:r>
            <w:proofErr w:type="gram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поддерживаемых</w:t>
            </w:r>
            <w:proofErr w:type="gram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VLAN и VLAN ID - не менее 4094;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Количество IPv4 маршрутов - не менее 480;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Поддержка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Multicast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групп - не менее 256;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Приоритезация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очередей: не менее 8-и аппаратных очередей на каждый абонентский порт;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Списки контроля доступа, устанавливаемые на порту коммутатора должны работать на скорости этого порта (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linerate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);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Поддержка протоколов защиты от петель 802.1w, 802.1s,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Per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VLAN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SpanningTree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(PVST+);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ab/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Поддержка</w:t>
            </w:r>
            <w:r w:rsidRPr="00E93D2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NTP Server 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E93D2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NTP Client;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Поддержка протокола DHCP (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Client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Server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Relay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, опция 82);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Поддержка протокола ITU-T Y.1731;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одновременная работа всех портов на скорости среды;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Дизайн для установки в шкаф 19";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Крепежный комплект для установки в коммуникационный шкаф;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ab/>
              <w:t>одновременная работа всех портов на скорости среды;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Все поставляемое оборудование должно быть установлено в коммутационные шкафы и настроено по согласованию с Заказчиком.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3.7. Требования к гарантийным обязательствам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На построенную ЛВС должен быть выдан гарантийный сертификат производителя кабельной системы. Продолжительность системной гарантии должна быть не менее 25 лет.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Порядок проведения сертификации определяется правилами производителя структурированной кабельной системы и должен быть отражен в договоре. Замена гарантийной сертификации производителя гарантиями на работы, выдаваемой системным интегратором, который реализуется проект, запрещается.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Срок предоставления гарантийных обязательств на телекоммуникационный шкаф должен быть не менее 36 месяцев;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Срок предоставления гарантийных обязательств на </w:t>
            </w:r>
            <w:proofErr w:type="spellStart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электроустановочные</w:t>
            </w:r>
            <w:proofErr w:type="spellEnd"/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 xml:space="preserve"> изделия должен быть не менее 12 месяцев;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Активное сетевое оборудование должно быть обеспечено официальной гарантией и технической поддержкой от производителя на территории Российской Федерации сроком на 36 месяцев;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Срок предоставления гарантийных обязательств на проводимые работы должен быть не менее 36 месяцев;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3D2B">
              <w:rPr>
                <w:rFonts w:ascii="Times New Roman" w:hAnsi="Times New Roman"/>
                <w:iCs/>
                <w:sz w:val="20"/>
                <w:szCs w:val="20"/>
              </w:rPr>
              <w:t>Время устранения неисправности по гарантии для структурированной кабельной системы не более 48 часов без расходов со стороны Заказчика. В случае невозможности устранить неисправность в указанное время для активного оборудования должна быть предоставлена аналогичная замена на время ремонта.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1. Раздел «Технологические решения» выполнить в соответствии  с объемом проводимых работ.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Предусмотреть капитальный ремонт сетей водоснабжения и водоотведения в детском саду до точки присоединения (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согласно акта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балансового разграничения).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 соответствии с паспортом энергосбережения и повышения энергетической эффективности.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</w:t>
            </w:r>
            <w:proofErr w:type="spellStart"/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от 04.08.2020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Метод расчета сметной документации: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базисно-индексный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 составе сметной документации предусмотреть расчет стоимости: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ab/>
              <w:t>строительный контроль – 2,14%;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ab/>
              <w:t>непредвиденные затраты – 2%;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•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ab/>
              <w:t>транспортировки с последующей утилизацией всех строительных отходов полученных при демонтажных и монтажных работах.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доступа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Разработать раздел «Мероприятия по обеспечению доступа инвалидов и других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граждан» в соответствии с действующим законодательством.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к выбору 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При выборе материалов, рекомендуется применять продукцию отечественного производства.</w:t>
            </w:r>
          </w:p>
          <w:p w:rsidR="00E93D2B" w:rsidRPr="00E93D2B" w:rsidRDefault="00E93D2B" w:rsidP="00E93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Выбор материалов согласовать с Заказчиком.</w:t>
            </w:r>
          </w:p>
        </w:tc>
      </w:tr>
      <w:tr w:rsidR="00E93D2B" w:rsidRPr="00AE3B88" w:rsidTr="007E27B7">
        <w:trPr>
          <w:trHeight w:val="27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2B" w:rsidRPr="00E93D2B" w:rsidRDefault="00E93D2B" w:rsidP="00E93D2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ДОПОЛНИТЕЛЬНЫЕ ТРЕБОВАНИЯ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учесть требования пожарной безопасности в соответствии с действующим законодательством.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Согласовать проектное решение фасада с Заказчиком.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</w:t>
            </w:r>
            <w:proofErr w:type="gramStart"/>
            <w:r w:rsidRPr="00E93D2B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проведения проверки достоверности определения сметной стоимости Капитального ремонта объекта</w:t>
            </w:r>
            <w:proofErr w:type="gramEnd"/>
            <w:r w:rsidRPr="00E93D2B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 в соответствующем уполномоченном органе. 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Иная документация.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Требования к оформлению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Проектная документация «О составе разделов проектной документации и требования к их содержанию»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ыполняется в соответствии с требованиями нормативной технической документации, актуальной на дату проектирования.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Рабочую документацию оформить в соответствии с </w:t>
            </w:r>
            <w:r w:rsidRPr="00E93D2B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требованиями нормативной технической документации, актуальной на дату проектирования.</w:t>
            </w:r>
          </w:p>
        </w:tc>
      </w:tr>
      <w:tr w:rsidR="00E93D2B" w:rsidRPr="00AE3B88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В течение 120 календарных дней </w:t>
            </w:r>
          </w:p>
          <w:p w:rsidR="00E93D2B" w:rsidRPr="00E93D2B" w:rsidRDefault="00E93D2B" w:rsidP="00E93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E93D2B" w:rsidRPr="00BC1744" w:rsidTr="007E27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numPr>
                <w:ilvl w:val="0"/>
                <w:numId w:val="1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Порядок сдачи работы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По результату выполненных работ передать Заказчику: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- 4 экземпляра рабочей документации на бумажном носителе;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- 2 экземпляра проектной документации стадия </w:t>
            </w:r>
            <w:proofErr w:type="gramStart"/>
            <w:r w:rsidRPr="00E93D2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- 4 экземпляра сметной документации на бумажном носителе.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 xml:space="preserve">- 2 экземпляр на электронном носителе (на </w:t>
            </w:r>
            <w:proofErr w:type="spellStart"/>
            <w:r w:rsidRPr="00E93D2B">
              <w:rPr>
                <w:rFonts w:ascii="Times New Roman" w:hAnsi="Times New Roman"/>
                <w:sz w:val="20"/>
                <w:szCs w:val="20"/>
              </w:rPr>
              <w:t>USB-флеш-накопителе</w:t>
            </w:r>
            <w:proofErr w:type="spellEnd"/>
            <w:r w:rsidRPr="00E93D2B">
              <w:rPr>
                <w:rFonts w:ascii="Times New Roman" w:hAnsi="Times New Roman"/>
                <w:sz w:val="20"/>
                <w:szCs w:val="20"/>
              </w:rPr>
              <w:t xml:space="preserve">) в формате DOC (текстовая часть) и в формате PDF, </w:t>
            </w:r>
            <w:r w:rsidRPr="00E93D2B">
              <w:rPr>
                <w:rFonts w:ascii="Times New Roman" w:hAnsi="Times New Roman"/>
                <w:sz w:val="20"/>
                <w:szCs w:val="20"/>
                <w:lang w:val="en-US"/>
              </w:rPr>
              <w:t>DWG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 xml:space="preserve"> (графическая часть), </w:t>
            </w:r>
            <w:r w:rsidRPr="00E93D2B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E93D2B">
              <w:rPr>
                <w:rFonts w:ascii="Times New Roman" w:hAnsi="Times New Roman"/>
                <w:sz w:val="20"/>
                <w:szCs w:val="20"/>
              </w:rPr>
              <w:t xml:space="preserve">. Сметная документация в формате XML.  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Программный сметный файл должен открываться программным комплексом «Гранд-смета».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:rsidR="00E93D2B" w:rsidRPr="00E93D2B" w:rsidRDefault="00E93D2B" w:rsidP="00E93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D2B">
              <w:rPr>
                <w:rFonts w:ascii="Times New Roman" w:hAnsi="Times New Roman"/>
                <w:sz w:val="20"/>
                <w:szCs w:val="20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:rsidR="006E20B6" w:rsidRPr="00E04817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 w:rsidSect="0079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>
    <w:nsid w:val="3D645719"/>
    <w:multiLevelType w:val="multilevel"/>
    <w:tmpl w:val="5E7AD3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1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108E6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D6E04"/>
    <w:rsid w:val="004F45FB"/>
    <w:rsid w:val="005036B1"/>
    <w:rsid w:val="00503C9A"/>
    <w:rsid w:val="005165C5"/>
    <w:rsid w:val="00517972"/>
    <w:rsid w:val="005430E8"/>
    <w:rsid w:val="00550A34"/>
    <w:rsid w:val="0055294C"/>
    <w:rsid w:val="0055777C"/>
    <w:rsid w:val="00571AE8"/>
    <w:rsid w:val="005819A9"/>
    <w:rsid w:val="005F7FDE"/>
    <w:rsid w:val="0060095B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65C5"/>
    <w:rsid w:val="00797781"/>
    <w:rsid w:val="007A066D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E04817"/>
    <w:rsid w:val="00E269FA"/>
    <w:rsid w:val="00E37EBD"/>
    <w:rsid w:val="00E91BB1"/>
    <w:rsid w:val="00E93D2B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A07A0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3D2B"/>
    <w:pPr>
      <w:keepNext/>
      <w:widowControl w:val="0"/>
      <w:numPr>
        <w:numId w:val="15"/>
      </w:numPr>
      <w:autoSpaceDE w:val="0"/>
      <w:spacing w:before="240" w:after="60" w:line="240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E93D2B"/>
    <w:pPr>
      <w:keepNext/>
      <w:widowControl w:val="0"/>
      <w:numPr>
        <w:ilvl w:val="1"/>
        <w:numId w:val="15"/>
      </w:numPr>
      <w:autoSpaceDE w:val="0"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E93D2B"/>
    <w:pPr>
      <w:keepNext/>
      <w:keepLines/>
      <w:numPr>
        <w:ilvl w:val="2"/>
        <w:numId w:val="15"/>
      </w:numPr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qFormat/>
    <w:rsid w:val="00E93D2B"/>
    <w:pPr>
      <w:keepNext/>
      <w:widowControl w:val="0"/>
      <w:numPr>
        <w:ilvl w:val="3"/>
        <w:numId w:val="15"/>
      </w:numPr>
      <w:autoSpaceDE w:val="0"/>
      <w:spacing w:before="240" w:after="60" w:line="240" w:lineRule="auto"/>
      <w:outlineLvl w:val="3"/>
    </w:pPr>
    <w:rPr>
      <w:rFonts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qFormat/>
    <w:rsid w:val="00E93D2B"/>
    <w:pPr>
      <w:widowControl w:val="0"/>
      <w:numPr>
        <w:ilvl w:val="5"/>
        <w:numId w:val="15"/>
      </w:numPr>
      <w:autoSpaceDE w:val="0"/>
      <w:spacing w:before="240" w:after="60" w:line="240" w:lineRule="auto"/>
      <w:outlineLvl w:val="5"/>
    </w:pPr>
    <w:rPr>
      <w:rFonts w:cs="Calibri"/>
      <w:b/>
      <w:bCs/>
      <w:lang w:val="en-US" w:eastAsia="zh-CN"/>
    </w:rPr>
  </w:style>
  <w:style w:type="paragraph" w:styleId="7">
    <w:name w:val="heading 7"/>
    <w:basedOn w:val="a"/>
    <w:next w:val="a"/>
    <w:link w:val="70"/>
    <w:qFormat/>
    <w:rsid w:val="00E93D2B"/>
    <w:pPr>
      <w:widowControl w:val="0"/>
      <w:numPr>
        <w:ilvl w:val="6"/>
        <w:numId w:val="15"/>
      </w:numPr>
      <w:autoSpaceDE w:val="0"/>
      <w:spacing w:before="240" w:after="60" w:line="240" w:lineRule="auto"/>
      <w:outlineLvl w:val="6"/>
    </w:pPr>
    <w:rPr>
      <w:rFonts w:cs="Calibri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E93D2B"/>
    <w:pPr>
      <w:widowControl w:val="0"/>
      <w:numPr>
        <w:ilvl w:val="7"/>
        <w:numId w:val="15"/>
      </w:numPr>
      <w:autoSpaceDE w:val="0"/>
      <w:spacing w:before="240" w:after="60" w:line="240" w:lineRule="auto"/>
      <w:outlineLvl w:val="7"/>
    </w:pPr>
    <w:rPr>
      <w:rFonts w:cs="Calibri"/>
      <w:i/>
      <w:iCs/>
      <w:sz w:val="24"/>
      <w:szCs w:val="24"/>
      <w:lang w:val="en-US" w:eastAsia="zh-CN"/>
    </w:rPr>
  </w:style>
  <w:style w:type="paragraph" w:styleId="9">
    <w:name w:val="heading 9"/>
    <w:basedOn w:val="a"/>
    <w:next w:val="a"/>
    <w:link w:val="90"/>
    <w:qFormat/>
    <w:rsid w:val="00E93D2B"/>
    <w:pPr>
      <w:widowControl w:val="0"/>
      <w:numPr>
        <w:ilvl w:val="8"/>
        <w:numId w:val="15"/>
      </w:numPr>
      <w:autoSpaceDE w:val="0"/>
      <w:spacing w:before="240" w:after="60" w:line="240" w:lineRule="auto"/>
      <w:outlineLvl w:val="8"/>
    </w:pPr>
    <w:rPr>
      <w:rFonts w:ascii="Cambria" w:hAnsi="Cambria" w:cs="Cambr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3D2B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E93D2B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E93D2B"/>
    <w:rPr>
      <w:rFonts w:ascii="Cambria" w:eastAsia="Times New Roman" w:hAnsi="Cambria" w:cs="Cambria"/>
      <w:b/>
      <w:bCs/>
      <w:color w:val="4F81BD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E93D2B"/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rsid w:val="00E93D2B"/>
    <w:rPr>
      <w:rFonts w:ascii="Calibri" w:eastAsia="Times New Roman" w:hAnsi="Calibri" w:cs="Calibri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E93D2B"/>
    <w:rPr>
      <w:rFonts w:ascii="Calibri" w:eastAsia="Times New Roman" w:hAnsi="Calibri" w:cs="Calibri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E93D2B"/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rsid w:val="00E93D2B"/>
    <w:rPr>
      <w:rFonts w:ascii="Cambria" w:eastAsia="Times New Roman" w:hAnsi="Cambria" w:cs="Cambria"/>
      <w:lang w:val="en-US" w:eastAsia="zh-CN"/>
    </w:rPr>
  </w:style>
  <w:style w:type="character" w:customStyle="1" w:styleId="s2">
    <w:name w:val="s2"/>
    <w:qFormat/>
    <w:rsid w:val="00E93D2B"/>
  </w:style>
  <w:style w:type="paragraph" w:customStyle="1" w:styleId="ConsPlusNormal">
    <w:name w:val="ConsPlusNormal"/>
    <w:link w:val="ConsPlusNormal0"/>
    <w:qFormat/>
    <w:rsid w:val="00E93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93D2B"/>
    <w:rPr>
      <w:rFonts w:ascii="Arial" w:eastAsiaTheme="minorEastAsia" w:hAnsi="Arial" w:cs="Arial"/>
      <w:sz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93D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17</Pages>
  <Words>6659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40</cp:revision>
  <cp:lastPrinted>2025-04-22T01:44:00Z</cp:lastPrinted>
  <dcterms:created xsi:type="dcterms:W3CDTF">2022-01-21T03:28:00Z</dcterms:created>
  <dcterms:modified xsi:type="dcterms:W3CDTF">2025-04-22T01:44:00Z</dcterms:modified>
</cp:coreProperties>
</file>