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0117300085524000077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06.06.2024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243220901107922090100101230017112244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Выполнение кадастровых работ бесхозяйных объектов 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294916,67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0117300085524000077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116698075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135661,02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116717573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150406,85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116698609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169576,52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116713477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116714751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250000,00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116715402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294916,67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116698075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116717573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116698609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116713477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116714751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116715402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116698075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135661,02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Сто тридцать пять тысяч шестьсот шестьдесят один рубль 02 копейки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