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0117300085523000205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20.11.2023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КУЛЬТУРЫ, СПОРТА И МОЛОДЕЖНОЙ ПОЛИТИКИ"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233220903164622090100100110016311244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предоставлению доступа и сопровождению ранее используемых текущих ежедневных выпусков баз данных интернет-версии, адаптации и модификации справочной правовой системы «ГАРАНТ» для нужд МКУ «Управление культуры, спорта и молодежной политики» города Рубцовска. 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64863,96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115326623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64863,96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115326623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115326623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