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0117300085523000180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25.09.2023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233220901107922090100103000014211244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ремонту искусственных неровностей и установке пешеходных ограждений перильного типа в рамках муниципальной программы "Повышение безопасности дорожного движения в городе Рубцовске" в 2023 году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550287,66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25.09.2023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