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0117300085523000099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29.05.2023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233220901107922090100102610014211244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ремонту улично-дорожной сети в городе Рубцовске ул. Красной от пр-та Рубцовского до ул. Сельмашской.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36253814,63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114305809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36253814,63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114305809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114305809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