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5435BF">
        <w:rPr>
          <w:rFonts w:ascii="Times New Roman" w:hAnsi="Times New Roman"/>
          <w:sz w:val="28"/>
          <w:szCs w:val="28"/>
        </w:rPr>
        <w:t>11</w:t>
      </w:r>
      <w:r w:rsidRPr="00AB1025">
        <w:rPr>
          <w:rFonts w:ascii="Times New Roman" w:hAnsi="Times New Roman"/>
          <w:sz w:val="28"/>
          <w:szCs w:val="28"/>
        </w:rPr>
        <w:t xml:space="preserve">» </w:t>
      </w:r>
      <w:r w:rsidR="004D0DBE">
        <w:rPr>
          <w:rFonts w:ascii="Times New Roman" w:hAnsi="Times New Roman"/>
          <w:sz w:val="28"/>
          <w:szCs w:val="28"/>
        </w:rPr>
        <w:t>н</w:t>
      </w:r>
      <w:r w:rsidR="00B9104F">
        <w:rPr>
          <w:rFonts w:ascii="Times New Roman" w:hAnsi="Times New Roman"/>
          <w:sz w:val="28"/>
          <w:szCs w:val="28"/>
        </w:rPr>
        <w:t>о</w:t>
      </w:r>
      <w:r w:rsidR="004D0DBE">
        <w:rPr>
          <w:rFonts w:ascii="Times New Roman" w:hAnsi="Times New Roman"/>
          <w:sz w:val="28"/>
          <w:szCs w:val="28"/>
        </w:rPr>
        <w:t>ября</w:t>
      </w:r>
      <w:r w:rsidR="00EC61BE">
        <w:rPr>
          <w:rFonts w:ascii="Times New Roman" w:hAnsi="Times New Roman"/>
          <w:sz w:val="28"/>
          <w:szCs w:val="28"/>
        </w:rPr>
        <w:t xml:space="preserve"> </w:t>
      </w:r>
      <w:r w:rsidRPr="00AB1025">
        <w:rPr>
          <w:rFonts w:ascii="Times New Roman" w:hAnsi="Times New Roman"/>
          <w:sz w:val="28"/>
          <w:szCs w:val="28"/>
        </w:rPr>
        <w:t>201</w:t>
      </w:r>
      <w:r w:rsidR="00C84562" w:rsidRPr="00AB1025">
        <w:rPr>
          <w:rFonts w:ascii="Times New Roman" w:hAnsi="Times New Roman"/>
          <w:sz w:val="28"/>
          <w:szCs w:val="28"/>
        </w:rPr>
        <w:t>9</w:t>
      </w:r>
      <w:r w:rsidRPr="00AB1025">
        <w:rPr>
          <w:rFonts w:ascii="Times New Roman" w:hAnsi="Times New Roman"/>
          <w:sz w:val="28"/>
          <w:szCs w:val="28"/>
        </w:rPr>
        <w:t xml:space="preserve"> года</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D0DBE">
        <w:rPr>
          <w:rFonts w:ascii="Times New Roman" w:hAnsi="Times New Roman"/>
          <w:b/>
          <w:caps/>
          <w:sz w:val="28"/>
          <w:szCs w:val="28"/>
        </w:rPr>
        <w:t>1</w:t>
      </w:r>
      <w:r w:rsidR="00391800">
        <w:rPr>
          <w:rFonts w:ascii="Times New Roman" w:hAnsi="Times New Roman"/>
          <w:b/>
          <w:caps/>
          <w:sz w:val="28"/>
          <w:szCs w:val="28"/>
        </w:rPr>
        <w:t>6</w:t>
      </w:r>
      <w:r w:rsidR="0046529E">
        <w:rPr>
          <w:rFonts w:ascii="Times New Roman" w:hAnsi="Times New Roman"/>
          <w:b/>
          <w:caps/>
          <w:sz w:val="28"/>
          <w:szCs w:val="28"/>
        </w:rPr>
        <w:t xml:space="preserve"> </w:t>
      </w:r>
      <w:r w:rsidR="00B9104F">
        <w:rPr>
          <w:rFonts w:ascii="Times New Roman" w:hAnsi="Times New Roman"/>
          <w:b/>
          <w:sz w:val="28"/>
          <w:szCs w:val="28"/>
        </w:rPr>
        <w:t>дека</w:t>
      </w:r>
      <w:r w:rsidR="002F5B0F">
        <w:rPr>
          <w:rFonts w:ascii="Times New Roman" w:hAnsi="Times New Roman"/>
          <w:b/>
          <w:sz w:val="28"/>
          <w:szCs w:val="28"/>
        </w:rPr>
        <w:t xml:space="preserve">бря </w:t>
      </w:r>
      <w:r w:rsidRPr="00AB1025">
        <w:rPr>
          <w:rFonts w:ascii="Times New Roman" w:hAnsi="Times New Roman"/>
          <w:b/>
          <w:caps/>
          <w:sz w:val="28"/>
          <w:szCs w:val="28"/>
        </w:rPr>
        <w:t xml:space="preserve">2019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2019</w:t>
      </w:r>
    </w:p>
    <w:p w:rsidR="003520A1" w:rsidRPr="00835145" w:rsidRDefault="003520A1" w:rsidP="00835145">
      <w:pPr>
        <w:spacing w:after="0" w:line="240" w:lineRule="auto"/>
        <w:jc w:val="center"/>
        <w:rPr>
          <w:rFonts w:ascii="Times New Roman" w:hAnsi="Times New Roman"/>
          <w:sz w:val="28"/>
          <w:szCs w:val="28"/>
        </w:rPr>
      </w:pPr>
    </w:p>
    <w:p w:rsidR="00E8440C" w:rsidRPr="000D7095" w:rsidRDefault="00E8440C" w:rsidP="00E8440C">
      <w:pPr>
        <w:autoSpaceDE w:val="0"/>
        <w:autoSpaceDN w:val="0"/>
        <w:adjustRightInd w:val="0"/>
        <w:spacing w:after="120" w:line="240" w:lineRule="auto"/>
        <w:jc w:val="center"/>
        <w:rPr>
          <w:rFonts w:ascii="Times New Roman" w:hAnsi="Times New Roman"/>
          <w:b/>
          <w:bCs/>
          <w:sz w:val="24"/>
          <w:szCs w:val="24"/>
          <w:lang w:val="en-US"/>
        </w:rPr>
      </w:pPr>
      <w:r w:rsidRPr="00AB1025">
        <w:rPr>
          <w:rFonts w:ascii="Times New Roman" w:hAnsi="Times New Roman"/>
          <w:b/>
          <w:bCs/>
          <w:sz w:val="24"/>
          <w:szCs w:val="24"/>
        </w:rPr>
        <w:lastRenderedPageBreak/>
        <w:t>ОГЛАВЛЕНИЕ</w:t>
      </w:r>
      <w:r w:rsidR="000D7095">
        <w:rPr>
          <w:rFonts w:ascii="Times New Roman" w:hAnsi="Times New Roman"/>
          <w:b/>
          <w:bCs/>
          <w:sz w:val="24"/>
          <w:szCs w:val="24"/>
          <w:lang w:val="en-US"/>
        </w:rPr>
        <w:t xml:space="preserve">   </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4824F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B77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670EA9"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77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670EA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94AB2"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FE5AE5"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E94D70"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E94D70"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0D7095" w:rsidRDefault="000D7095" w:rsidP="00B35508">
      <w:pPr>
        <w:tabs>
          <w:tab w:val="left" w:pos="767"/>
        </w:tabs>
        <w:suppressAutoHyphens/>
        <w:spacing w:before="120" w:after="120" w:line="240" w:lineRule="auto"/>
        <w:jc w:val="center"/>
        <w:textAlignment w:val="baseline"/>
        <w:rPr>
          <w:rFonts w:ascii="Times New Roman" w:hAnsi="Times New Roman"/>
          <w:b/>
          <w:bCs/>
          <w:lang w:val="en-US" w:eastAsia="ar-SA"/>
        </w:rPr>
      </w:pPr>
      <w:r>
        <w:rPr>
          <w:rFonts w:ascii="Times New Roman" w:hAnsi="Times New Roman"/>
          <w:b/>
          <w:bCs/>
          <w:lang w:val="en-US" w:eastAsia="ar-SA"/>
        </w:rPr>
        <w:t xml:space="preserve">              </w:t>
      </w:r>
      <w:bookmarkStart w:id="0" w:name="_GoBack"/>
      <w:bookmarkEnd w:id="0"/>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0D7095" w:rsidRDefault="000D7095" w:rsidP="00B35508">
      <w:pPr>
        <w:tabs>
          <w:tab w:val="left" w:pos="767"/>
        </w:tabs>
        <w:suppressAutoHyphens/>
        <w:spacing w:before="120" w:after="120" w:line="240" w:lineRule="auto"/>
        <w:jc w:val="center"/>
        <w:textAlignment w:val="baseline"/>
        <w:rPr>
          <w:rFonts w:ascii="Times New Roman" w:hAnsi="Times New Roman"/>
          <w:b/>
          <w:bCs/>
          <w:lang w:val="en-US" w:eastAsia="ar-SA"/>
        </w:rPr>
      </w:pPr>
      <w:r>
        <w:rPr>
          <w:rFonts w:ascii="Times New Roman" w:hAnsi="Times New Roman"/>
          <w:b/>
          <w:bCs/>
          <w:lang w:val="en-US" w:eastAsia="ar-SA"/>
        </w:rPr>
        <w:t xml:space="preserve">               </w:t>
      </w: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0D7095" w:rsidRDefault="000D7095" w:rsidP="00B35508">
      <w:pPr>
        <w:tabs>
          <w:tab w:val="left" w:pos="767"/>
        </w:tabs>
        <w:suppressAutoHyphens/>
        <w:spacing w:before="120" w:after="120" w:line="240" w:lineRule="auto"/>
        <w:jc w:val="center"/>
        <w:textAlignment w:val="baseline"/>
        <w:rPr>
          <w:rFonts w:ascii="Times New Roman" w:hAnsi="Times New Roman"/>
          <w:b/>
          <w:bCs/>
          <w:lang w:val="en-US" w:eastAsia="ar-SA"/>
        </w:rPr>
      </w:pPr>
      <w:r>
        <w:rPr>
          <w:rFonts w:ascii="Times New Roman" w:hAnsi="Times New Roman"/>
          <w:b/>
          <w:bCs/>
          <w:lang w:val="en-US" w:eastAsia="ar-SA"/>
        </w:rPr>
        <w:t xml:space="preserve">                </w:t>
      </w: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0D7095" w:rsidRDefault="000D7095" w:rsidP="00B35508">
      <w:pPr>
        <w:tabs>
          <w:tab w:val="left" w:pos="767"/>
        </w:tabs>
        <w:suppressAutoHyphens/>
        <w:spacing w:before="120" w:after="120" w:line="240" w:lineRule="auto"/>
        <w:jc w:val="center"/>
        <w:textAlignment w:val="baseline"/>
        <w:rPr>
          <w:rFonts w:ascii="Times New Roman" w:hAnsi="Times New Roman"/>
          <w:b/>
          <w:bCs/>
          <w:lang w:val="en-US" w:eastAsia="ar-SA"/>
        </w:rPr>
      </w:pPr>
      <w:r>
        <w:rPr>
          <w:rFonts w:ascii="Times New Roman" w:hAnsi="Times New Roman"/>
          <w:b/>
          <w:bCs/>
          <w:lang w:val="en-US" w:eastAsia="ar-SA"/>
        </w:rPr>
        <w:t xml:space="preserve">            </w:t>
      </w: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0D7095" w:rsidRDefault="000D7095" w:rsidP="00B35508">
      <w:pPr>
        <w:tabs>
          <w:tab w:val="left" w:pos="767"/>
        </w:tabs>
        <w:suppressAutoHyphens/>
        <w:spacing w:before="120" w:after="120" w:line="240" w:lineRule="auto"/>
        <w:jc w:val="center"/>
        <w:textAlignment w:val="baseline"/>
        <w:rPr>
          <w:rFonts w:ascii="Times New Roman" w:hAnsi="Times New Roman"/>
          <w:b/>
          <w:bCs/>
          <w:lang w:val="en-US" w:eastAsia="ar-SA"/>
        </w:rPr>
      </w:pPr>
      <w:r>
        <w:rPr>
          <w:rFonts w:ascii="Times New Roman" w:hAnsi="Times New Roman"/>
          <w:b/>
          <w:bCs/>
          <w:lang w:val="en-US" w:eastAsia="ar-SA"/>
        </w:rPr>
        <w:t xml:space="preserve">       </w:t>
      </w: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9104F" w:rsidRDefault="00B9104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Pr="00AB1025">
        <w:rPr>
          <w:b/>
          <w:bCs/>
          <w:sz w:val="22"/>
          <w:szCs w:val="22"/>
        </w:rPr>
        <w:t xml:space="preserve">Лот </w:t>
      </w:r>
      <w:r>
        <w:rPr>
          <w:b/>
          <w:bCs/>
          <w:sz w:val="22"/>
          <w:szCs w:val="22"/>
        </w:rPr>
        <w:t>1</w:t>
      </w:r>
      <w:r w:rsidRPr="00AB1025">
        <w:rPr>
          <w:b/>
          <w:bCs/>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B9104F">
        <w:rPr>
          <w:rFonts w:ascii="Times New Roman" w:hAnsi="Times New Roman"/>
          <w:b/>
        </w:rPr>
        <w:t>1</w:t>
      </w:r>
      <w:r w:rsidR="00A94F2F" w:rsidRPr="00AB1025">
        <w:rPr>
          <w:rFonts w:ascii="Times New Roman" w:hAnsi="Times New Roman"/>
          <w:b/>
        </w:rPr>
        <w:t>.1.</w:t>
      </w:r>
      <w:r w:rsidR="0037457F" w:rsidRPr="00AB1025">
        <w:rPr>
          <w:rFonts w:ascii="Times New Roman" w:hAnsi="Times New Roman"/>
          <w:bCs/>
        </w:rPr>
        <w:t> </w:t>
      </w:r>
      <w:r w:rsidR="00A94F2F" w:rsidRPr="00AB1025">
        <w:rPr>
          <w:rFonts w:ascii="Times New Roman" w:hAnsi="Times New Roman"/>
          <w:bCs/>
        </w:rPr>
        <w:t>Нежилое</w:t>
      </w:r>
      <w:r w:rsidR="00A94F2F" w:rsidRPr="00AB1025">
        <w:rPr>
          <w:rFonts w:ascii="Times New Roman" w:hAnsi="Times New Roman"/>
        </w:rPr>
        <w:t xml:space="preserve"> административное здание общей площадью 330,9 кв.м и земельный участок площадью 434 кв.м расположены в центральной административной части города Рубцовска по адресу: Россия, Алтайский край, город Рубцовск, улица Крупской, 153, -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A94F2F" w:rsidRPr="00AB1025">
        <w:rPr>
          <w:rFonts w:ascii="Times New Roman" w:hAnsi="Times New Roman"/>
          <w:bCs/>
        </w:rPr>
        <w:t>Введено в эксплуатацию в 1965 году. С момента строительства в здании располагались административные организации.</w:t>
      </w:r>
      <w:r w:rsidR="00A94F2F" w:rsidRPr="00AB1025">
        <w:rPr>
          <w:rFonts w:ascii="Times New Roman" w:hAnsi="Times New Roman"/>
        </w:rPr>
        <w:t xml:space="preserve"> Много лет здание не эксплуатируется.</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нежилого здания 22:70:021117:42.</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земельного участка: 22:70:021117:12.</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2.</w:t>
      </w:r>
      <w:r w:rsidR="0037457F" w:rsidRPr="00AB1025">
        <w:rPr>
          <w:bCs/>
        </w:rPr>
        <w:t>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iCs/>
          <w:sz w:val="22"/>
          <w:szCs w:val="22"/>
        </w:rPr>
        <w:t>410</w:t>
      </w:r>
      <w:r w:rsidR="0037457F" w:rsidRPr="00AB1025">
        <w:rPr>
          <w:bCs/>
        </w:rPr>
        <w:t> </w:t>
      </w:r>
      <w:r w:rsidR="00A94F2F" w:rsidRPr="00AB1025">
        <w:rPr>
          <w:color w:val="000000"/>
          <w:sz w:val="22"/>
          <w:szCs w:val="22"/>
        </w:rPr>
        <w:t>000</w:t>
      </w:r>
      <w:r w:rsidR="0037457F" w:rsidRPr="00AB1025">
        <w:rPr>
          <w:bCs/>
        </w:rPr>
        <w:t> </w:t>
      </w:r>
      <w:r w:rsidR="00A94F2F" w:rsidRPr="00AB1025">
        <w:rPr>
          <w:color w:val="000000"/>
          <w:sz w:val="22"/>
          <w:szCs w:val="22"/>
        </w:rPr>
        <w:t>(четыреста десять тысяч)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3.</w:t>
      </w:r>
      <w:r w:rsidR="0037457F" w:rsidRPr="00AB1025">
        <w:rPr>
          <w:rFonts w:ascii="Times New Roman" w:hAnsi="Times New Roman"/>
          <w:bCs/>
        </w:rPr>
        <w:t>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w:t>
      </w:r>
      <w:r w:rsidR="00944F14">
        <w:rPr>
          <w:rFonts w:ascii="Times New Roman" w:hAnsi="Times New Roman"/>
        </w:rPr>
        <w:t>:</w:t>
      </w:r>
      <w:r w:rsidR="00A94F2F" w:rsidRPr="00AB1025">
        <w:rPr>
          <w:rFonts w:ascii="Times New Roman" w:hAnsi="Times New Roman"/>
        </w:rPr>
        <w:t xml:space="preserve"> </w:t>
      </w:r>
      <w:r w:rsidR="008F5703" w:rsidRPr="00AB1025">
        <w:rPr>
          <w:rFonts w:ascii="Times New Roman" w:hAnsi="Times New Roman"/>
          <w:color w:val="000000"/>
        </w:rPr>
        <w:t>20</w:t>
      </w:r>
      <w:r w:rsidR="008F5703" w:rsidRPr="00AB1025">
        <w:rPr>
          <w:rFonts w:ascii="Times New Roman" w:hAnsi="Times New Roman"/>
          <w:bCs/>
        </w:rPr>
        <w:t> </w:t>
      </w:r>
      <w:r w:rsidR="008F5703" w:rsidRPr="00AB1025">
        <w:rPr>
          <w:rFonts w:ascii="Times New Roman" w:hAnsi="Times New Roman"/>
          <w:color w:val="000000"/>
        </w:rPr>
        <w:t>500</w:t>
      </w:r>
      <w:r w:rsidR="0037457F" w:rsidRPr="00AB1025">
        <w:rPr>
          <w:rFonts w:ascii="Times New Roman" w:hAnsi="Times New Roman"/>
          <w:bCs/>
        </w:rPr>
        <w:t> </w:t>
      </w:r>
      <w:r w:rsidR="008F5703" w:rsidRPr="00AB1025">
        <w:rPr>
          <w:rFonts w:ascii="Times New Roman" w:hAnsi="Times New Roman"/>
          <w:color w:val="000000"/>
        </w:rPr>
        <w:t>(двадцать тысяч пятьсот</w:t>
      </w:r>
      <w:r w:rsidR="00A94F2F" w:rsidRPr="00AB1025">
        <w:rPr>
          <w:rFonts w:ascii="Times New Roman" w:hAnsi="Times New Roman"/>
          <w:color w:val="000000"/>
        </w:rPr>
        <w:t xml:space="preserve">)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A94F2F" w:rsidRPr="00AB1025">
        <w:rPr>
          <w:rFonts w:ascii="Times New Roman" w:hAnsi="Times New Roman"/>
        </w:rPr>
        <w:t xml:space="preserve"> (20% от начальной цены продажи)</w:t>
      </w:r>
      <w:r w:rsidR="00944F14">
        <w:rPr>
          <w:rFonts w:ascii="Times New Roman" w:hAnsi="Times New Roman"/>
        </w:rPr>
        <w:t>:</w:t>
      </w:r>
      <w:r w:rsidR="008F5703">
        <w:rPr>
          <w:rFonts w:ascii="Times New Roman" w:hAnsi="Times New Roman"/>
        </w:rPr>
        <w:t xml:space="preserve"> </w:t>
      </w:r>
      <w:r w:rsidR="008F5703" w:rsidRPr="00AB1025">
        <w:rPr>
          <w:rFonts w:ascii="Times New Roman" w:hAnsi="Times New Roman"/>
          <w:bCs/>
        </w:rPr>
        <w:t>82 000</w:t>
      </w:r>
      <w:r w:rsidR="0037457F" w:rsidRPr="00AB1025">
        <w:rPr>
          <w:rFonts w:ascii="Times New Roman" w:hAnsi="Times New Roman"/>
          <w:bCs/>
        </w:rPr>
        <w:t> </w:t>
      </w:r>
      <w:r w:rsidR="008F5703" w:rsidRPr="00AB1025">
        <w:rPr>
          <w:rFonts w:ascii="Times New Roman" w:hAnsi="Times New Roman"/>
          <w:color w:val="000000"/>
        </w:rPr>
        <w:t>(восемьдесят две тысячи</w:t>
      </w:r>
      <w:r w:rsidR="00A94F2F" w:rsidRPr="00AB1025">
        <w:rPr>
          <w:rFonts w:ascii="Times New Roman" w:hAnsi="Times New Roman"/>
          <w:color w:val="000000"/>
        </w:rPr>
        <w:t>)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5.</w:t>
      </w:r>
      <w:r w:rsidR="0037457F" w:rsidRPr="00AB1025">
        <w:rPr>
          <w:bCs/>
        </w:rPr>
        <w:t> </w:t>
      </w:r>
      <w:r w:rsidR="00A94F2F" w:rsidRPr="00AB1025">
        <w:rPr>
          <w:b/>
          <w:sz w:val="22"/>
          <w:szCs w:val="22"/>
        </w:rPr>
        <w:t xml:space="preserve">Обременения </w:t>
      </w:r>
      <w:r w:rsidR="00A94F2F" w:rsidRPr="00AB1025">
        <w:rPr>
          <w:sz w:val="22"/>
          <w:szCs w:val="22"/>
        </w:rPr>
        <w:t>- отсутствуют.</w:t>
      </w:r>
    </w:p>
    <w:p w:rsidR="00076DFF" w:rsidRPr="00076DFF" w:rsidRDefault="001E30A2" w:rsidP="00076DFF">
      <w:pPr>
        <w:pStyle w:val="af3"/>
        <w:tabs>
          <w:tab w:val="left" w:pos="0"/>
        </w:tabs>
        <w:spacing w:after="0"/>
        <w:ind w:left="0" w:firstLine="709"/>
        <w:jc w:val="both"/>
        <w:rPr>
          <w:sz w:val="22"/>
          <w:szCs w:val="22"/>
        </w:rPr>
      </w:pPr>
      <w:r w:rsidRPr="001E30A2">
        <w:rPr>
          <w:b/>
          <w:sz w:val="22"/>
          <w:szCs w:val="22"/>
        </w:rPr>
        <w:t>3.</w:t>
      </w:r>
      <w:r w:rsidR="00B9104F">
        <w:rPr>
          <w:b/>
          <w:sz w:val="22"/>
          <w:szCs w:val="22"/>
        </w:rPr>
        <w:t>1</w:t>
      </w:r>
      <w:r w:rsidRPr="001E30A2">
        <w:rPr>
          <w:b/>
          <w:sz w:val="22"/>
          <w:szCs w:val="22"/>
        </w:rPr>
        <w:t>.</w:t>
      </w:r>
      <w:r w:rsidR="00A94F2F" w:rsidRPr="00AB1025">
        <w:rPr>
          <w:b/>
          <w:sz w:val="22"/>
          <w:szCs w:val="22"/>
        </w:rPr>
        <w:t>6.</w:t>
      </w:r>
      <w:r w:rsidR="0037457F" w:rsidRPr="00AB1025">
        <w:rPr>
          <w:bCs/>
        </w:rPr>
        <w:t> </w:t>
      </w:r>
      <w:r w:rsidR="00A94F2F" w:rsidRPr="00AB1025">
        <w:rPr>
          <w:b/>
          <w:sz w:val="22"/>
          <w:szCs w:val="22"/>
        </w:rPr>
        <w:t>Сведения о предыдущих торгах</w:t>
      </w:r>
      <w:r w:rsidR="00944F14">
        <w:rPr>
          <w:b/>
          <w:sz w:val="22"/>
          <w:szCs w:val="22"/>
        </w:rPr>
        <w:t>:</w:t>
      </w:r>
      <w:r w:rsidR="00944F14" w:rsidRPr="00944F14">
        <w:rPr>
          <w:sz w:val="22"/>
          <w:szCs w:val="22"/>
        </w:rPr>
        <w:t xml:space="preserve"> </w:t>
      </w:r>
      <w:r w:rsidR="00076DFF" w:rsidRPr="00076DFF">
        <w:rPr>
          <w:sz w:val="22"/>
          <w:szCs w:val="22"/>
        </w:rPr>
        <w:t>На аукцион, назначенный на 03.09.2019, заявок не поступило.</w:t>
      </w:r>
    </w:p>
    <w:p w:rsidR="00A94F2F"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B9104F">
        <w:rPr>
          <w:rFonts w:ascii="Times New Roman" w:hAnsi="Times New Roman"/>
          <w:b/>
        </w:rPr>
        <w:t>1</w:t>
      </w:r>
      <w:r w:rsidRPr="001E30A2">
        <w:rPr>
          <w:rFonts w:ascii="Times New Roman" w:hAnsi="Times New Roman"/>
          <w:b/>
        </w:rPr>
        <w:t>.</w:t>
      </w:r>
      <w:r w:rsidR="00A94F2F" w:rsidRPr="00AB1025">
        <w:rPr>
          <w:rFonts w:ascii="Times New Roman" w:hAnsi="Times New Roman"/>
          <w:b/>
        </w:rPr>
        <w:t>7.</w:t>
      </w:r>
      <w:r w:rsidR="0037457F" w:rsidRPr="00AB1025">
        <w:rPr>
          <w:rFonts w:ascii="Times New Roman" w:hAnsi="Times New Roman"/>
          <w:bCs/>
        </w:rPr>
        <w:t>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w:t>
      </w:r>
      <w:r w:rsidR="00C158A0" w:rsidRPr="00AB1025">
        <w:rPr>
          <w:rFonts w:ascii="Times New Roman" w:hAnsi="Times New Roman"/>
        </w:rPr>
        <w:t xml:space="preserve">условия приватизации </w:t>
      </w:r>
      <w:r w:rsidR="00C158A0">
        <w:rPr>
          <w:rFonts w:ascii="Times New Roman" w:hAnsi="Times New Roman"/>
        </w:rPr>
        <w:t xml:space="preserve">утверждены </w:t>
      </w:r>
      <w:r w:rsidR="00D84272">
        <w:rPr>
          <w:rFonts w:ascii="Times New Roman" w:hAnsi="Times New Roman"/>
        </w:rPr>
        <w:t xml:space="preserve">решением </w:t>
      </w:r>
      <w:r w:rsidR="00C158A0" w:rsidRPr="00AB1025">
        <w:rPr>
          <w:rFonts w:ascii="Times New Roman" w:hAnsi="Times New Roman"/>
        </w:rPr>
        <w:t>Рубцовск</w:t>
      </w:r>
      <w:r w:rsidR="00D84272">
        <w:rPr>
          <w:rFonts w:ascii="Times New Roman" w:hAnsi="Times New Roman"/>
        </w:rPr>
        <w:t>ого</w:t>
      </w:r>
      <w:r w:rsidR="00C158A0" w:rsidRPr="00AB1025">
        <w:rPr>
          <w:rFonts w:ascii="Times New Roman" w:hAnsi="Times New Roman"/>
        </w:rPr>
        <w:t xml:space="preserve"> городск</w:t>
      </w:r>
      <w:r w:rsidR="00D84272">
        <w:rPr>
          <w:rFonts w:ascii="Times New Roman" w:hAnsi="Times New Roman"/>
        </w:rPr>
        <w:t>ого</w:t>
      </w:r>
      <w:r w:rsidR="00C158A0" w:rsidRPr="00AB1025">
        <w:rPr>
          <w:rFonts w:ascii="Times New Roman" w:hAnsi="Times New Roman"/>
        </w:rPr>
        <w:t xml:space="preserve"> Совет</w:t>
      </w:r>
      <w:r w:rsidR="00D84272">
        <w:rPr>
          <w:rFonts w:ascii="Times New Roman" w:hAnsi="Times New Roman"/>
        </w:rPr>
        <w:t>а</w:t>
      </w:r>
      <w:r w:rsidR="00C158A0" w:rsidRPr="00AB1025">
        <w:rPr>
          <w:rFonts w:ascii="Times New Roman" w:hAnsi="Times New Roman"/>
        </w:rPr>
        <w:t xml:space="preserve"> депутатов Алтайского края</w:t>
      </w:r>
      <w:r w:rsidR="00C158A0">
        <w:rPr>
          <w:rFonts w:ascii="Times New Roman" w:hAnsi="Times New Roman"/>
        </w:rPr>
        <w:t xml:space="preserve"> </w:t>
      </w:r>
      <w:r w:rsidR="00C158A0" w:rsidRPr="00AB1025">
        <w:rPr>
          <w:rFonts w:ascii="Times New Roman" w:hAnsi="Times New Roman"/>
        </w:rPr>
        <w:t xml:space="preserve">от </w:t>
      </w:r>
      <w:r w:rsidR="00A94F2F" w:rsidRPr="00AB1025">
        <w:rPr>
          <w:rFonts w:ascii="Times New Roman" w:hAnsi="Times New Roman"/>
        </w:rPr>
        <w:t>20.06.</w:t>
      </w:r>
      <w:r w:rsidR="002508F8" w:rsidRPr="002508F8">
        <w:rPr>
          <w:rFonts w:ascii="Times New Roman" w:hAnsi="Times New Roman"/>
        </w:rPr>
        <w:t>2019</w:t>
      </w:r>
      <w:r w:rsidR="002508F8" w:rsidRPr="002508F8">
        <w:rPr>
          <w:rFonts w:ascii="Times New Roman" w:hAnsi="Times New Roman"/>
          <w:bCs/>
        </w:rPr>
        <w:t> </w:t>
      </w:r>
      <w:r w:rsidR="002508F8" w:rsidRPr="002508F8">
        <w:rPr>
          <w:rFonts w:ascii="Times New Roman" w:hAnsi="Times New Roman"/>
        </w:rPr>
        <w:t>№</w:t>
      </w:r>
      <w:r w:rsidR="002508F8">
        <w:rPr>
          <w:rFonts w:ascii="Times New Roman" w:hAnsi="Times New Roman"/>
          <w:bCs/>
          <w:sz w:val="24"/>
          <w:szCs w:val="24"/>
        </w:rPr>
        <w:t> </w:t>
      </w:r>
      <w:r w:rsidR="00A94F2F" w:rsidRPr="00AB1025">
        <w:rPr>
          <w:rFonts w:ascii="Times New Roman" w:hAnsi="Times New Roman"/>
        </w:rPr>
        <w:t>295.</w:t>
      </w:r>
    </w:p>
    <w:p w:rsidR="0087193F" w:rsidRDefault="0087193F" w:rsidP="00E8440C">
      <w:pPr>
        <w:spacing w:after="0" w:line="240" w:lineRule="auto"/>
        <w:ind w:firstLine="709"/>
        <w:jc w:val="both"/>
        <w:rPr>
          <w:rFonts w:ascii="Times New Roman" w:hAnsi="Times New Roman"/>
        </w:rPr>
      </w:pPr>
    </w:p>
    <w:p w:rsidR="0087193F" w:rsidRPr="00AB1025" w:rsidRDefault="0087193F" w:rsidP="00E8440C">
      <w:pPr>
        <w:spacing w:after="0" w:line="240" w:lineRule="auto"/>
        <w:ind w:firstLine="709"/>
        <w:jc w:val="both"/>
        <w:rPr>
          <w:rFonts w:ascii="Times New Roman" w:hAnsi="Times New Roman"/>
        </w:rPr>
      </w:pP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lastRenderedPageBreak/>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391800">
        <w:rPr>
          <w:sz w:val="22"/>
          <w:szCs w:val="22"/>
        </w:rPr>
        <w:t>12</w:t>
      </w:r>
      <w:r w:rsidR="00BA7A9C" w:rsidRPr="00BA7A9C">
        <w:rPr>
          <w:sz w:val="22"/>
          <w:szCs w:val="22"/>
        </w:rPr>
        <w:t xml:space="preserve"> </w:t>
      </w:r>
      <w:r w:rsidR="00B9104F">
        <w:rPr>
          <w:sz w:val="22"/>
          <w:szCs w:val="22"/>
        </w:rPr>
        <w:t>но</w:t>
      </w:r>
      <w:r w:rsidR="00BA7A9C" w:rsidRPr="00BA7A9C">
        <w:rPr>
          <w:sz w:val="22"/>
          <w:szCs w:val="22"/>
        </w:rPr>
        <w:t xml:space="preserve">ября </w:t>
      </w:r>
      <w:r w:rsidR="00A94F2F" w:rsidRPr="000C0C5E">
        <w:rPr>
          <w:sz w:val="22"/>
          <w:szCs w:val="22"/>
        </w:rPr>
        <w:t xml:space="preserve">2019 года.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до</w:t>
      </w:r>
      <w:r w:rsidR="00A94F2F" w:rsidRPr="000C0C5E">
        <w:rPr>
          <w:sz w:val="22"/>
          <w:szCs w:val="22"/>
        </w:rPr>
        <w:t xml:space="preserve"> </w:t>
      </w:r>
      <w:r w:rsidR="00391800">
        <w:rPr>
          <w:sz w:val="22"/>
          <w:szCs w:val="22"/>
        </w:rPr>
        <w:t>1</w:t>
      </w:r>
      <w:r w:rsidR="00806A6B">
        <w:rPr>
          <w:sz w:val="22"/>
          <w:szCs w:val="22"/>
        </w:rPr>
        <w:t>0</w:t>
      </w:r>
      <w:r w:rsidR="00A94F2F" w:rsidRPr="000C0C5E">
        <w:rPr>
          <w:sz w:val="22"/>
          <w:szCs w:val="22"/>
        </w:rPr>
        <w:t xml:space="preserve"> час. 00 мин.</w:t>
      </w:r>
      <w:r w:rsidR="00806A6B">
        <w:rPr>
          <w:sz w:val="22"/>
          <w:szCs w:val="22"/>
        </w:rPr>
        <w:t xml:space="preserve"> </w:t>
      </w:r>
      <w:r w:rsidR="00F97039" w:rsidRPr="00F97039">
        <w:rPr>
          <w:sz w:val="22"/>
          <w:szCs w:val="22"/>
        </w:rPr>
        <w:t>(время местное)</w:t>
      </w:r>
      <w:r w:rsidR="00F97039">
        <w:rPr>
          <w:sz w:val="22"/>
          <w:szCs w:val="22"/>
        </w:rPr>
        <w:t>, до 0</w:t>
      </w:r>
      <w:r w:rsidR="00391800">
        <w:rPr>
          <w:sz w:val="22"/>
          <w:szCs w:val="22"/>
        </w:rPr>
        <w:t>6</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w:t>
      </w:r>
      <w:r w:rsidR="00F97039">
        <w:rPr>
          <w:sz w:val="22"/>
          <w:szCs w:val="22"/>
        </w:rPr>
        <w:t xml:space="preserve"> </w:t>
      </w:r>
      <w:r w:rsidR="00391800">
        <w:rPr>
          <w:sz w:val="22"/>
          <w:szCs w:val="22"/>
        </w:rPr>
        <w:t>09</w:t>
      </w:r>
      <w:r w:rsidR="008D478F">
        <w:rPr>
          <w:sz w:val="22"/>
          <w:szCs w:val="22"/>
        </w:rPr>
        <w:t xml:space="preserve"> </w:t>
      </w:r>
      <w:r w:rsidR="00B9104F">
        <w:rPr>
          <w:sz w:val="22"/>
          <w:szCs w:val="22"/>
        </w:rPr>
        <w:t>де</w:t>
      </w:r>
      <w:r w:rsidR="008D478F">
        <w:rPr>
          <w:sz w:val="22"/>
          <w:szCs w:val="22"/>
        </w:rPr>
        <w:t>к</w:t>
      </w:r>
      <w:r w:rsidR="00B9104F">
        <w:rPr>
          <w:sz w:val="22"/>
          <w:szCs w:val="22"/>
        </w:rPr>
        <w:t>а</w:t>
      </w:r>
      <w:r w:rsidR="008D478F">
        <w:rPr>
          <w:sz w:val="22"/>
          <w:szCs w:val="22"/>
        </w:rPr>
        <w:t>бря</w:t>
      </w:r>
      <w:r w:rsidR="00BA7A9C">
        <w:rPr>
          <w:sz w:val="22"/>
          <w:szCs w:val="22"/>
        </w:rPr>
        <w:t xml:space="preserve"> </w:t>
      </w:r>
      <w:r w:rsidR="00F97039" w:rsidRPr="000C0C5E">
        <w:rPr>
          <w:sz w:val="22"/>
          <w:szCs w:val="22"/>
        </w:rPr>
        <w:t>2019 года</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391800">
        <w:rPr>
          <w:sz w:val="22"/>
          <w:szCs w:val="22"/>
        </w:rPr>
        <w:t>12</w:t>
      </w:r>
      <w:r w:rsidR="00B9104F">
        <w:rPr>
          <w:sz w:val="22"/>
          <w:szCs w:val="22"/>
        </w:rPr>
        <w:t xml:space="preserve"> декабря </w:t>
      </w:r>
      <w:r w:rsidR="00A94F2F" w:rsidRPr="000C0C5E">
        <w:rPr>
          <w:sz w:val="22"/>
          <w:szCs w:val="22"/>
        </w:rPr>
        <w:t>2019 года.</w:t>
      </w:r>
    </w:p>
    <w:p w:rsidR="00A94F2F"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время начала приема предложений по цене от участников аукциона –</w:t>
      </w:r>
      <w:r w:rsidR="00A94F2F" w:rsidRPr="00AB1025">
        <w:rPr>
          <w:sz w:val="22"/>
          <w:szCs w:val="22"/>
        </w:rPr>
        <w:t xml:space="preserve">  </w:t>
      </w:r>
      <w:r w:rsidR="00391800">
        <w:rPr>
          <w:sz w:val="22"/>
          <w:szCs w:val="22"/>
        </w:rPr>
        <w:t>1</w:t>
      </w:r>
      <w:r w:rsidR="00F97039">
        <w:rPr>
          <w:sz w:val="22"/>
          <w:szCs w:val="22"/>
        </w:rPr>
        <w:t>0</w:t>
      </w:r>
      <w:r w:rsidR="00F97039" w:rsidRPr="000C0C5E">
        <w:rPr>
          <w:sz w:val="22"/>
          <w:szCs w:val="22"/>
        </w:rPr>
        <w:t xml:space="preserve"> час. 00 мин.</w:t>
      </w:r>
      <w:r w:rsidR="00F97039">
        <w:rPr>
          <w:sz w:val="22"/>
          <w:szCs w:val="22"/>
        </w:rPr>
        <w:t xml:space="preserve"> </w:t>
      </w:r>
      <w:r w:rsidR="00F97039" w:rsidRPr="00F97039">
        <w:rPr>
          <w:sz w:val="22"/>
          <w:szCs w:val="22"/>
        </w:rPr>
        <w:t>(время местное)</w:t>
      </w:r>
      <w:r w:rsidR="00F97039">
        <w:rPr>
          <w:sz w:val="22"/>
          <w:szCs w:val="22"/>
        </w:rPr>
        <w:t>, 0</w:t>
      </w:r>
      <w:r w:rsidR="00391800">
        <w:rPr>
          <w:sz w:val="22"/>
          <w:szCs w:val="22"/>
        </w:rPr>
        <w:t>6</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 xml:space="preserve">) </w:t>
      </w:r>
      <w:r w:rsidR="00391800">
        <w:rPr>
          <w:sz w:val="22"/>
          <w:szCs w:val="22"/>
        </w:rPr>
        <w:t>16</w:t>
      </w:r>
      <w:r w:rsidR="00B9104F">
        <w:rPr>
          <w:sz w:val="22"/>
          <w:szCs w:val="22"/>
        </w:rPr>
        <w:t xml:space="preserve"> декабря </w:t>
      </w:r>
      <w:r w:rsidR="00F97039" w:rsidRPr="000C0C5E">
        <w:rPr>
          <w:sz w:val="22"/>
          <w:szCs w:val="22"/>
        </w:rPr>
        <w:t>2019 года</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77D88" w:rsidRDefault="00B77D88" w:rsidP="00867047">
      <w:pPr>
        <w:pStyle w:val="31"/>
        <w:tabs>
          <w:tab w:val="left" w:pos="540"/>
        </w:tabs>
        <w:ind w:firstLine="709"/>
        <w:outlineLvl w:val="0"/>
        <w:rPr>
          <w:sz w:val="22"/>
          <w:szCs w:val="22"/>
        </w:rPr>
      </w:pPr>
    </w:p>
    <w:p w:rsidR="00B77D88" w:rsidRDefault="00B77D88" w:rsidP="00867047">
      <w:pPr>
        <w:pStyle w:val="31"/>
        <w:tabs>
          <w:tab w:val="left" w:pos="540"/>
        </w:tabs>
        <w:ind w:firstLine="709"/>
        <w:outlineLvl w:val="0"/>
        <w:rPr>
          <w:sz w:val="22"/>
          <w:szCs w:val="22"/>
        </w:rPr>
      </w:pPr>
    </w:p>
    <w:p w:rsidR="00B77D88" w:rsidRDefault="00B77D88" w:rsidP="00867047">
      <w:pPr>
        <w:pStyle w:val="31"/>
        <w:tabs>
          <w:tab w:val="left" w:pos="540"/>
        </w:tabs>
        <w:ind w:firstLine="709"/>
        <w:outlineLvl w:val="0"/>
        <w:rPr>
          <w:sz w:val="22"/>
          <w:szCs w:val="22"/>
        </w:rPr>
      </w:pP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lastRenderedPageBreak/>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24 часов </w:t>
      </w:r>
      <w:r w:rsidR="00391800">
        <w:rPr>
          <w:sz w:val="22"/>
          <w:szCs w:val="22"/>
        </w:rPr>
        <w:t>08</w:t>
      </w:r>
      <w:r w:rsidR="00FE05A7">
        <w:rPr>
          <w:sz w:val="22"/>
          <w:szCs w:val="22"/>
        </w:rPr>
        <w:t xml:space="preserve"> декабря</w:t>
      </w:r>
      <w:r w:rsidR="0078047C">
        <w:rPr>
          <w:sz w:val="22"/>
          <w:szCs w:val="22"/>
        </w:rPr>
        <w:t xml:space="preserve"> 2019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B9104F">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2962B2">
        <w:rPr>
          <w:rFonts w:ascii="Times New Roman" w:hAnsi="Times New Roman"/>
        </w:rPr>
        <w:t xml:space="preserve">в т.ч.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lastRenderedPageBreak/>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 </w:t>
      </w:r>
      <w:r w:rsidR="00981C07">
        <w:rPr>
          <w:rFonts w:ascii="Times New Roman" w:hAnsi="Times New Roman"/>
        </w:rPr>
        <w:t>1</w:t>
      </w:r>
      <w:r w:rsidRPr="005B682F">
        <w:rPr>
          <w:rFonts w:ascii="Times New Roman" w:hAnsi="Times New Roman"/>
        </w:rPr>
        <w:t>);</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претендентом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981C07">
        <w:rPr>
          <w:rFonts w:ascii="Times New Roman" w:hAnsi="Times New Roman"/>
        </w:rPr>
        <w:t>;</w:t>
      </w:r>
    </w:p>
    <w:p w:rsidR="00021073" w:rsidRPr="007B108B" w:rsidRDefault="00021073" w:rsidP="00184608">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2758F1" w:rsidRDefault="007728CC" w:rsidP="002758F1">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F93F57" w:rsidRPr="005B682F"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претендентом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 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Pr="00EF472D"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lastRenderedPageBreak/>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lastRenderedPageBreak/>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14.1.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77D88">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w:t>
      </w:r>
      <w:r w:rsidR="001D05C1" w:rsidRPr="001D05C1">
        <w:rPr>
          <w:rFonts w:ascii="Times New Roman" w:hAnsi="Times New Roman"/>
        </w:rPr>
        <w:t> </w:t>
      </w:r>
      <w:r>
        <w:rPr>
          <w:rFonts w:ascii="Times New Roman" w:hAnsi="Times New Roman"/>
          <w:bCs/>
          <w:sz w:val="24"/>
          <w:szCs w:val="24"/>
        </w:rPr>
        <w:t>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1D05C1" w:rsidRPr="001D05C1">
        <w:rPr>
          <w:rFonts w:ascii="Times New Roman" w:hAnsi="Times New Roman"/>
        </w:rPr>
        <w:t> </w:t>
      </w:r>
      <w:r>
        <w:rPr>
          <w:rFonts w:ascii="Times New Roman" w:hAnsi="Times New Roman"/>
          <w:bCs/>
          <w:sz w:val="24"/>
          <w:szCs w:val="24"/>
        </w:rPr>
        <w:t>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w:t>
      </w:r>
      <w:r w:rsidR="001D05C1" w:rsidRPr="001D05C1">
        <w:rPr>
          <w:rFonts w:ascii="Times New Roman" w:hAnsi="Times New Roman"/>
        </w:rPr>
        <w:t> </w:t>
      </w:r>
      <w:r>
        <w:rPr>
          <w:rFonts w:ascii="Times New Roman" w:hAnsi="Times New Roman"/>
          <w:bCs/>
          <w:sz w:val="24"/>
          <w:szCs w:val="24"/>
        </w:rPr>
        <w:t>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1D05C1">
        <w:rPr>
          <w:rFonts w:ascii="Times New Roman" w:hAnsi="Times New Roman"/>
        </w:rPr>
        <w:t> </w:t>
      </w:r>
      <w:r w:rsidRPr="00FD5688">
        <w:rPr>
          <w:rFonts w:ascii="Times New Roman" w:hAnsi="Times New Roman"/>
          <w:bCs/>
          <w:sz w:val="24"/>
          <w:szCs w:val="24"/>
        </w:rPr>
        <w:t>Копия паспорта</w:t>
      </w:r>
      <w:r w:rsidR="0085332D">
        <w:rPr>
          <w:rFonts w:ascii="Times New Roman" w:hAnsi="Times New Roman"/>
          <w:bCs/>
          <w:sz w:val="24"/>
          <w:szCs w:val="24"/>
        </w:rPr>
        <w:t xml:space="preserve"> (всех листов) </w:t>
      </w:r>
      <w:r>
        <w:rPr>
          <w:rFonts w:ascii="Times New Roman" w:hAnsi="Times New Roman"/>
          <w:bCs/>
          <w:sz w:val="24"/>
          <w:szCs w:val="24"/>
        </w:rPr>
        <w:t>-</w:t>
      </w:r>
      <w:r w:rsidRPr="00FD5688">
        <w:rPr>
          <w:rFonts w:ascii="Times New Roman" w:hAnsi="Times New Roman"/>
          <w:bCs/>
          <w:sz w:val="24"/>
          <w:szCs w:val="24"/>
        </w:rPr>
        <w:t xml:space="preserve">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 xml:space="preserve">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P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1D05C1" w:rsidP="00647311">
      <w:pPr>
        <w:spacing w:after="0" w:line="240" w:lineRule="auto"/>
        <w:jc w:val="both"/>
        <w:rPr>
          <w:rFonts w:ascii="Times New Roman" w:hAnsi="Times New Roman"/>
          <w:bCs/>
          <w:sz w:val="23"/>
          <w:szCs w:val="23"/>
        </w:rPr>
      </w:pPr>
      <w:r>
        <w:rPr>
          <w:rFonts w:ascii="Times New Roman" w:hAnsi="Times New Roman"/>
          <w:bCs/>
          <w:sz w:val="23"/>
          <w:szCs w:val="23"/>
        </w:rPr>
        <w:t>1</w:t>
      </w:r>
      <w:r>
        <w:rPr>
          <w:rFonts w:ascii="Times New Roman" w:hAnsi="Times New Roman"/>
          <w:bCs/>
          <w:sz w:val="24"/>
          <w:szCs w:val="24"/>
        </w:rPr>
        <w:t>.</w:t>
      </w:r>
      <w:r w:rsidRPr="001D05C1">
        <w:rPr>
          <w:rFonts w:ascii="Times New Roman" w:hAnsi="Times New Roman"/>
        </w:rPr>
        <w:t> </w:t>
      </w:r>
      <w:r w:rsidR="00647311" w:rsidRPr="00EE784E">
        <w:rPr>
          <w:rFonts w:ascii="Times New Roman" w:hAnsi="Times New Roman"/>
          <w:bCs/>
          <w:sz w:val="23"/>
          <w:szCs w:val="23"/>
        </w:rPr>
        <w:t>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М.П.                                             (подпись, должность, Ф.И.О. полностью)</w:t>
      </w:r>
    </w:p>
    <w:p w:rsidR="00647311" w:rsidRDefault="006A70CF" w:rsidP="0085332D">
      <w:pPr>
        <w:spacing w:before="120" w:after="0" w:line="240" w:lineRule="auto"/>
        <w:jc w:val="both"/>
        <w:rPr>
          <w:rFonts w:ascii="Times New Roman" w:hAnsi="Times New Roman"/>
        </w:rPr>
      </w:pPr>
      <w:r>
        <w:rPr>
          <w:rFonts w:ascii="Times New Roman" w:hAnsi="Times New Roman"/>
          <w:sz w:val="24"/>
          <w:szCs w:val="24"/>
        </w:rPr>
        <w:t>____________________________________________________________________________</w:t>
      </w: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5F" w:rsidRDefault="009B6E5F" w:rsidP="00B70277">
      <w:pPr>
        <w:spacing w:after="0" w:line="240" w:lineRule="auto"/>
      </w:pPr>
      <w:r>
        <w:separator/>
      </w:r>
    </w:p>
  </w:endnote>
  <w:endnote w:type="continuationSeparator" w:id="0">
    <w:p w:rsidR="009B6E5F" w:rsidRDefault="009B6E5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B2" w:rsidRDefault="002962B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157924"/>
    </w:sdtPr>
    <w:sdtEndPr/>
    <w:sdtContent>
      <w:p w:rsidR="002962B2" w:rsidRDefault="009B6E5F">
        <w:pPr>
          <w:pStyle w:val="af7"/>
          <w:jc w:val="right"/>
        </w:pPr>
        <w:r>
          <w:fldChar w:fldCharType="begin"/>
        </w:r>
        <w:r>
          <w:instrText xml:space="preserve"> PAGE   \* MERGEFORMAT </w:instrText>
        </w:r>
        <w:r>
          <w:fldChar w:fldCharType="separate"/>
        </w:r>
        <w:r w:rsidR="00643628">
          <w:rPr>
            <w:noProof/>
          </w:rPr>
          <w:t>13</w:t>
        </w:r>
        <w:r>
          <w:rPr>
            <w:noProof/>
          </w:rPr>
          <w:fldChar w:fldCharType="end"/>
        </w:r>
      </w:p>
    </w:sdtContent>
  </w:sdt>
  <w:p w:rsidR="002962B2" w:rsidRDefault="002962B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B2" w:rsidRDefault="002962B2"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5F" w:rsidRDefault="009B6E5F" w:rsidP="00B70277">
      <w:pPr>
        <w:spacing w:after="0" w:line="240" w:lineRule="auto"/>
      </w:pPr>
      <w:r>
        <w:separator/>
      </w:r>
    </w:p>
  </w:footnote>
  <w:footnote w:type="continuationSeparator" w:id="0">
    <w:p w:rsidR="009B6E5F" w:rsidRDefault="009B6E5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B2" w:rsidRDefault="002962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962B2" w:rsidRDefault="002962B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B2" w:rsidRDefault="002962B2" w:rsidP="00A94F2F">
    <w:pPr>
      <w:pStyle w:val="aa"/>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B2" w:rsidRDefault="002962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3A"/>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095"/>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D60"/>
    <w:rsid w:val="00456CF4"/>
    <w:rsid w:val="00456FF5"/>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5E2"/>
    <w:rsid w:val="00576440"/>
    <w:rsid w:val="00576DB1"/>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B7A"/>
    <w:rsid w:val="005A5D66"/>
    <w:rsid w:val="005A5EB1"/>
    <w:rsid w:val="005A6138"/>
    <w:rsid w:val="005A6386"/>
    <w:rsid w:val="005A6DF8"/>
    <w:rsid w:val="005A7B40"/>
    <w:rsid w:val="005B1303"/>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65C"/>
    <w:rsid w:val="00753BFA"/>
    <w:rsid w:val="0075598C"/>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5F"/>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798C"/>
    <w:rsid w:val="00B01BED"/>
    <w:rsid w:val="00B02271"/>
    <w:rsid w:val="00B0245B"/>
    <w:rsid w:val="00B038BD"/>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60E1"/>
    <w:rsid w:val="00EB651A"/>
    <w:rsid w:val="00EB6699"/>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0D67"/>
  <w15:docId w15:val="{C8F072E0-AE4B-4F5C-BB74-147F7B9D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23" Type="http://schemas.openxmlformats.org/officeDocument/2006/relationships/theme" Target="theme/theme1.xm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A29A7-D8C0-4542-9A05-77008A8B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Евгений Александрович Савосин</cp:lastModifiedBy>
  <cp:revision>275</cp:revision>
  <cp:lastPrinted>2019-11-11T08:06:00Z</cp:lastPrinted>
  <dcterms:created xsi:type="dcterms:W3CDTF">2019-06-13T03:11:00Z</dcterms:created>
  <dcterms:modified xsi:type="dcterms:W3CDTF">2019-11-11T09:18:00Z</dcterms:modified>
</cp:coreProperties>
</file>