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5D" w:rsidRDefault="008E2F46" w:rsidP="008E2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о</w:t>
      </w:r>
      <w:r w:rsidRPr="00587AC4">
        <w:rPr>
          <w:rFonts w:ascii="Times New Roman" w:hAnsi="Times New Roman"/>
          <w:sz w:val="28"/>
          <w:szCs w:val="28"/>
        </w:rPr>
        <w:t xml:space="preserve">б итогах социально-экономического развития </w:t>
      </w:r>
      <w:r w:rsidRPr="00587AC4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образовании город Рубцовск Алтайского края</w:t>
      </w:r>
      <w:r w:rsidR="00384E77">
        <w:rPr>
          <w:rFonts w:ascii="Times New Roman" w:hAnsi="Times New Roman"/>
          <w:sz w:val="28"/>
          <w:szCs w:val="28"/>
        </w:rPr>
        <w:t xml:space="preserve"> за 2018 год, планируемых</w:t>
      </w:r>
      <w:r w:rsidR="007D1EC3">
        <w:rPr>
          <w:rFonts w:ascii="Times New Roman" w:hAnsi="Times New Roman"/>
          <w:sz w:val="28"/>
          <w:szCs w:val="28"/>
        </w:rPr>
        <w:t xml:space="preserve"> показателях на 2019 год и среднесрочный период 2020-2022 годы</w:t>
      </w:r>
    </w:p>
    <w:p w:rsidR="000625B9" w:rsidRDefault="000625B9" w:rsidP="00A61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75D" w:rsidRPr="00592EFD" w:rsidRDefault="00FB275D" w:rsidP="00FB27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По итогам развития города за 2018 год и первого полугодия</w:t>
      </w:r>
      <w:r w:rsidRPr="00592EFD">
        <w:rPr>
          <w:rFonts w:ascii="Times New Roman" w:hAnsi="Times New Roman"/>
          <w:sz w:val="28"/>
          <w:szCs w:val="28"/>
        </w:rPr>
        <w:br/>
        <w:t xml:space="preserve">2019 года </w:t>
      </w:r>
      <w:r w:rsidRPr="00592EFD">
        <w:rPr>
          <w:rFonts w:ascii="Times New Roman" w:hAnsi="Times New Roman"/>
          <w:noProof/>
          <w:sz w:val="28"/>
          <w:szCs w:val="28"/>
        </w:rPr>
        <w:t xml:space="preserve">наблюдается рост показателей </w:t>
      </w:r>
      <w:r w:rsidRPr="00592EFD">
        <w:rPr>
          <w:rFonts w:ascii="Times New Roman" w:hAnsi="Times New Roman"/>
          <w:sz w:val="28"/>
          <w:szCs w:val="28"/>
        </w:rPr>
        <w:t>промышленного производства, инвестиций, реальной заработной платы, потребительского спроса населения.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EFD">
        <w:rPr>
          <w:rFonts w:ascii="Times New Roman" w:hAnsi="Times New Roman"/>
          <w:sz w:val="28"/>
          <w:szCs w:val="28"/>
        </w:rPr>
        <w:t xml:space="preserve">В 2018 году объем отгруженных товаров, собственного производства, выполненных работ, услуг собственными силами по кругу крупных и средних организаций составил 17068589 тыс. рублей, темп снижения отгрузки к 2017 году составил 97,8 %. Индекс промышленного производства отгруженных товаров собственного производства, выполненных работ и услуг собственными силами по полному кругу  предприятий и организаций города по всем видам деятельности составил  104,5 %, </w:t>
      </w:r>
      <w:r w:rsidRPr="00592EFD">
        <w:rPr>
          <w:rStyle w:val="FontStyle13"/>
          <w:sz w:val="28"/>
          <w:szCs w:val="28"/>
        </w:rPr>
        <w:t>при индексе-дефляторе 103,8</w:t>
      </w:r>
      <w:proofErr w:type="gramEnd"/>
      <w:r w:rsidRPr="00592EFD">
        <w:rPr>
          <w:rStyle w:val="FontStyle13"/>
          <w:sz w:val="28"/>
          <w:szCs w:val="28"/>
        </w:rPr>
        <w:t xml:space="preserve"> % к уровню предыдущего года.</w:t>
      </w:r>
    </w:p>
    <w:p w:rsidR="00FB275D" w:rsidRPr="00592EFD" w:rsidRDefault="00FB275D" w:rsidP="00FB275D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592EFD">
        <w:rPr>
          <w:rStyle w:val="FontStyle13"/>
          <w:sz w:val="28"/>
          <w:szCs w:val="28"/>
        </w:rPr>
        <w:t>Оценка показателей 2019 года и прогнозируемого периода проведены по результатам работы организаций в сфере промышленного производства за отчетный период - 2017, 2018 годов и первое полугодия 2019 года. По объёмам производства и реализации продукции за первое полугодие 2019 года 3 предприятия города превысили рубеж в 1 млрд. руб.:</w:t>
      </w:r>
      <w:r w:rsidRPr="00592EFD">
        <w:rPr>
          <w:sz w:val="28"/>
          <w:szCs w:val="28"/>
        </w:rPr>
        <w:t xml:space="preserve"> </w:t>
      </w:r>
      <w:proofErr w:type="spellStart"/>
      <w:r w:rsidRPr="00592EFD">
        <w:rPr>
          <w:rStyle w:val="FontStyle13"/>
          <w:sz w:val="28"/>
          <w:szCs w:val="28"/>
        </w:rPr>
        <w:t>Рубцовский</w:t>
      </w:r>
      <w:proofErr w:type="spellEnd"/>
      <w:r w:rsidRPr="00592EFD">
        <w:rPr>
          <w:rStyle w:val="FontStyle13"/>
          <w:sz w:val="28"/>
          <w:szCs w:val="28"/>
        </w:rPr>
        <w:t xml:space="preserve"> филиал АО «</w:t>
      </w:r>
      <w:proofErr w:type="spellStart"/>
      <w:r w:rsidRPr="00592EFD">
        <w:rPr>
          <w:rStyle w:val="FontStyle13"/>
          <w:sz w:val="28"/>
          <w:szCs w:val="28"/>
        </w:rPr>
        <w:t>Алтайвагон</w:t>
      </w:r>
      <w:proofErr w:type="spellEnd"/>
      <w:r w:rsidRPr="00592EFD">
        <w:rPr>
          <w:rStyle w:val="FontStyle13"/>
          <w:sz w:val="28"/>
          <w:szCs w:val="28"/>
        </w:rPr>
        <w:t>»;</w:t>
      </w:r>
      <w:r w:rsidRPr="00592EFD">
        <w:rPr>
          <w:sz w:val="28"/>
          <w:szCs w:val="28"/>
        </w:rPr>
        <w:t xml:space="preserve"> </w:t>
      </w:r>
      <w:r w:rsidRPr="00592EFD">
        <w:rPr>
          <w:rStyle w:val="FontStyle13"/>
          <w:sz w:val="28"/>
          <w:szCs w:val="28"/>
        </w:rPr>
        <w:t>ЗАО «</w:t>
      </w:r>
      <w:proofErr w:type="spellStart"/>
      <w:r w:rsidRPr="00592EFD">
        <w:rPr>
          <w:rStyle w:val="FontStyle13"/>
          <w:sz w:val="28"/>
          <w:szCs w:val="28"/>
        </w:rPr>
        <w:t>Рубцовский</w:t>
      </w:r>
      <w:proofErr w:type="spellEnd"/>
      <w:r w:rsidRPr="00592EFD">
        <w:rPr>
          <w:rStyle w:val="FontStyle13"/>
          <w:sz w:val="28"/>
          <w:szCs w:val="28"/>
        </w:rPr>
        <w:t xml:space="preserve"> завод запасных частей»;</w:t>
      </w:r>
      <w:r w:rsidRPr="00592EFD">
        <w:rPr>
          <w:sz w:val="28"/>
          <w:szCs w:val="28"/>
        </w:rPr>
        <w:t xml:space="preserve"> </w:t>
      </w:r>
      <w:proofErr w:type="spellStart"/>
      <w:r w:rsidRPr="00592EFD">
        <w:rPr>
          <w:rStyle w:val="FontStyle13"/>
          <w:sz w:val="28"/>
          <w:szCs w:val="28"/>
        </w:rPr>
        <w:t>Рубцовский</w:t>
      </w:r>
      <w:proofErr w:type="spellEnd"/>
      <w:r w:rsidRPr="00592EFD">
        <w:rPr>
          <w:rStyle w:val="FontStyle13"/>
          <w:sz w:val="28"/>
          <w:szCs w:val="28"/>
        </w:rPr>
        <w:t xml:space="preserve"> молочный завод филиал АО «</w:t>
      </w:r>
      <w:proofErr w:type="spellStart"/>
      <w:r w:rsidRPr="00592EFD">
        <w:rPr>
          <w:rStyle w:val="FontStyle13"/>
          <w:sz w:val="28"/>
          <w:szCs w:val="28"/>
        </w:rPr>
        <w:t>Вимм-Билль-Данн</w:t>
      </w:r>
      <w:proofErr w:type="spellEnd"/>
      <w:r w:rsidRPr="00592EFD">
        <w:rPr>
          <w:rStyle w:val="FontStyle13"/>
          <w:sz w:val="28"/>
          <w:szCs w:val="28"/>
        </w:rPr>
        <w:t>».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С учетом сложившейся тенденции индекс промышленного производства по полному кругу организаций в 2019 году оценивается на уровне 100,6 % (приложение).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Продолжена деятельность предприятий по реализации инвестиционных проектов. Общий объем инвестиций  в основной капитал по источникам финансирова</w:t>
      </w:r>
      <w:r w:rsidRPr="00592EFD">
        <w:rPr>
          <w:rFonts w:ascii="Times New Roman" w:hAnsi="Times New Roman"/>
          <w:sz w:val="28"/>
          <w:szCs w:val="28"/>
        </w:rPr>
        <w:softHyphen/>
        <w:t>ния (без субъектов малого предпринимательства и объемов инвестиций, не наблю</w:t>
      </w:r>
      <w:r w:rsidRPr="00592EFD">
        <w:rPr>
          <w:rFonts w:ascii="Times New Roman" w:hAnsi="Times New Roman"/>
          <w:sz w:val="28"/>
          <w:szCs w:val="28"/>
        </w:rPr>
        <w:softHyphen/>
        <w:t>даемых прямым статистическим методами)   составил в 2018 году – 2096,1 млн. рублей.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Наибольшие средства инвестировались в 2018 году в 2 вида экономической деятельности: обрабатывающие производства –  48,5 %  от всех инвестиций и  обеспечение электрической энергией, газом, паром –    38,9 % от всех инвестиций.  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EFD">
        <w:rPr>
          <w:rFonts w:ascii="Times New Roman" w:hAnsi="Times New Roman"/>
          <w:sz w:val="28"/>
          <w:szCs w:val="28"/>
        </w:rPr>
        <w:t>Основными  видами  вложений за 2018 год стали инвестиции в прочие машины и оборудование, включая хозяйственный инвентарь и другие объекты (48,9 %) и в здания (кроме жилых), сооружения  (44,4 %).</w:t>
      </w:r>
      <w:proofErr w:type="gramEnd"/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По перечню инвестиционных проектов, намеченных к реализации в 2018 году на территории города, осуществлялась реализация                                     3 внебюджетных проектов, в том числе 2 проекта по виду обрабатывающие производства и 1 прое</w:t>
      </w:r>
      <w:proofErr w:type="gramStart"/>
      <w:r w:rsidRPr="00592EFD">
        <w:rPr>
          <w:rFonts w:ascii="Times New Roman" w:hAnsi="Times New Roman"/>
          <w:sz w:val="28"/>
          <w:szCs w:val="28"/>
        </w:rPr>
        <w:t>кт в сф</w:t>
      </w:r>
      <w:proofErr w:type="gramEnd"/>
      <w:r w:rsidRPr="00592EFD">
        <w:rPr>
          <w:rFonts w:ascii="Times New Roman" w:hAnsi="Times New Roman"/>
          <w:sz w:val="28"/>
          <w:szCs w:val="28"/>
        </w:rPr>
        <w:t>ере обеспе</w:t>
      </w:r>
      <w:r w:rsidRPr="00592EFD">
        <w:rPr>
          <w:rFonts w:ascii="Times New Roman" w:hAnsi="Times New Roman"/>
          <w:sz w:val="28"/>
          <w:szCs w:val="28"/>
        </w:rPr>
        <w:softHyphen/>
        <w:t>чение электрической энергией, газом, паром. В 2019 году осуществлялась реализа</w:t>
      </w:r>
      <w:r w:rsidRPr="00592EFD">
        <w:rPr>
          <w:rFonts w:ascii="Times New Roman" w:hAnsi="Times New Roman"/>
          <w:sz w:val="28"/>
          <w:szCs w:val="28"/>
        </w:rPr>
        <w:softHyphen/>
        <w:t>ция 3 бюджетных проектов с участием краевого и местного бюджетов, из них с за</w:t>
      </w:r>
      <w:r w:rsidRPr="00592EFD">
        <w:rPr>
          <w:rFonts w:ascii="Times New Roman" w:hAnsi="Times New Roman"/>
          <w:sz w:val="28"/>
          <w:szCs w:val="28"/>
        </w:rPr>
        <w:softHyphen/>
        <w:t>вершением - 2  проектов.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EFD">
        <w:rPr>
          <w:rFonts w:ascii="Times New Roman" w:hAnsi="Times New Roman"/>
          <w:sz w:val="28"/>
          <w:szCs w:val="28"/>
        </w:rPr>
        <w:t xml:space="preserve">Общий объем инвестиций  в основной капитал по источникам финансирования (без субъектов малого предпринимательства и объемов инвестиций, не наблюдаемых прямым статистическим методами)  в первом  полугодии 2019 года  достиг 517,8 млн. рублей, что меньше прошлогоднего объема на 147,14 млн. руб. или на 22,1 %. Из общего объема инвестиций: </w:t>
      </w:r>
      <w:r w:rsidRPr="00592EFD">
        <w:rPr>
          <w:rFonts w:ascii="Times New Roman" w:hAnsi="Times New Roman"/>
          <w:sz w:val="28"/>
          <w:szCs w:val="28"/>
        </w:rPr>
        <w:lastRenderedPageBreak/>
        <w:t>собственные средства – 328,07 млн. руб. (63,4 %),  привлеченные средства –  189,69 млн. руб. (36,6 %).</w:t>
      </w:r>
      <w:proofErr w:type="gramEnd"/>
      <w:r w:rsidRPr="00592EFD">
        <w:rPr>
          <w:rFonts w:ascii="Times New Roman" w:hAnsi="Times New Roman"/>
          <w:sz w:val="28"/>
          <w:szCs w:val="28"/>
        </w:rPr>
        <w:t xml:space="preserve"> По итогам 2019 года инвестиции в основной капитал (без субъектов малого предпринимательства и объемов инвестиций, не наблюдаемых прямым статистическим методами)  ожидаются на уровне 1600,0 млн. рублей, индекс физического объема </w:t>
      </w:r>
      <w:r w:rsidRPr="00592EFD">
        <w:rPr>
          <w:rFonts w:ascii="Times New Roman" w:hAnsi="Times New Roman"/>
          <w:sz w:val="28"/>
          <w:szCs w:val="28"/>
        </w:rPr>
        <w:sym w:font="Symbol" w:char="002D"/>
      </w:r>
      <w:r w:rsidRPr="00592EFD">
        <w:rPr>
          <w:rFonts w:ascii="Times New Roman" w:hAnsi="Times New Roman"/>
          <w:sz w:val="28"/>
          <w:szCs w:val="28"/>
        </w:rPr>
        <w:t xml:space="preserve"> 73 %.</w:t>
      </w:r>
    </w:p>
    <w:p w:rsidR="00FB275D" w:rsidRPr="00592EFD" w:rsidRDefault="00FB275D" w:rsidP="00FB275D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92EFD">
        <w:rPr>
          <w:szCs w:val="28"/>
        </w:rPr>
        <w:t xml:space="preserve">Ситуация на рынке труда в 2018 году характеризуется положительной динамикой роста средней заработной платы по крупным и средним организациям </w:t>
      </w:r>
      <w:r w:rsidRPr="00592EFD">
        <w:rPr>
          <w:szCs w:val="28"/>
        </w:rPr>
        <w:sym w:font="Symbol" w:char="002D"/>
      </w:r>
      <w:r w:rsidRPr="00592EFD">
        <w:rPr>
          <w:szCs w:val="28"/>
        </w:rPr>
        <w:t xml:space="preserve"> 115,1 % (в 2017 году </w:t>
      </w:r>
      <w:r w:rsidRPr="00592EFD">
        <w:rPr>
          <w:szCs w:val="28"/>
        </w:rPr>
        <w:sym w:font="Symbol" w:char="002D"/>
      </w:r>
      <w:r w:rsidRPr="00592EFD">
        <w:rPr>
          <w:szCs w:val="28"/>
        </w:rPr>
        <w:t xml:space="preserve"> 110,4 %), в реальном выражении рост составил 113,5 %</w:t>
      </w:r>
      <w:r w:rsidRPr="00592EFD">
        <w:rPr>
          <w:color w:val="000000"/>
          <w:szCs w:val="28"/>
        </w:rPr>
        <w:t>.</w:t>
      </w:r>
      <w:r w:rsidRPr="00592EFD">
        <w:rPr>
          <w:szCs w:val="28"/>
        </w:rPr>
        <w:t xml:space="preserve"> 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В муниципальных учреждениях города прослеживается значительный рост уровня средней заработной платы, связанный с исполнением </w:t>
      </w:r>
      <w:proofErr w:type="gramStart"/>
      <w:r w:rsidRPr="00592EFD">
        <w:rPr>
          <w:rFonts w:ascii="Times New Roman" w:hAnsi="Times New Roman"/>
          <w:sz w:val="28"/>
          <w:szCs w:val="28"/>
        </w:rPr>
        <w:t>Программы поэтапного совершенствования системы оплаты труда</w:t>
      </w:r>
      <w:proofErr w:type="gramEnd"/>
      <w:r w:rsidRPr="00592EFD">
        <w:rPr>
          <w:rFonts w:ascii="Times New Roman" w:hAnsi="Times New Roman"/>
          <w:sz w:val="28"/>
          <w:szCs w:val="28"/>
        </w:rPr>
        <w:t xml:space="preserve"> в государственных (муниципальных) учреждениях на 2012-2018 годы, утвержденной в Указе Президента Российской Федерации от 07 мая 2012 года № 597 «О мероприятиях по реализации государственной социальной политики».</w:t>
      </w:r>
    </w:p>
    <w:p w:rsidR="00FB275D" w:rsidRPr="00592EFD" w:rsidRDefault="00FB275D" w:rsidP="00FB275D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92EFD">
        <w:rPr>
          <w:szCs w:val="28"/>
        </w:rPr>
        <w:t xml:space="preserve">По оценке 2019 года среднемесячная заработная плата в целом по городу должна составить 29964 рублей, рост к 2018 году - 9,9 %. </w:t>
      </w:r>
      <w:r w:rsidRPr="00592EFD">
        <w:rPr>
          <w:rStyle w:val="a3"/>
          <w:b w:val="0"/>
          <w:szCs w:val="28"/>
        </w:rPr>
        <w:t>Численность официально зарегистрированных безработных</w:t>
      </w:r>
      <w:r w:rsidRPr="00592EFD">
        <w:rPr>
          <w:szCs w:val="28"/>
        </w:rPr>
        <w:t xml:space="preserve"> на 01.01.2019 составила 425 человек. В сравнении с 2017 годом численность безработных граждан уменьшилась  на 103 человека. Уровень   официально   зарегистрированной безработицы составил 0,52 %. Коэффициент напряженности на рынке труда  составил 0,7 человек незанятых граждан на одно вакантное место.  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За 2018 год  объём оборота розничной торговли  крупных и средних предприятий города составил 6729,1 млн. руб., и возрос на 8,5 % к 2017 году. 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На 01.01.2019 в городе действует 859 магазинов общей торговой площадью 212098 кв. м, в том числе 317 продовольственных, 504 непродовольственных и 38 магазинов смешанной торговли.  Из общего числа магазинов, 562 используют прогрессивные формы и методы обслуживания: самообслуживание – 212 магазинов, 320 магазинов предоставляют услугу по предоставлению кредита, 30 магазинов реализуют продукцию собственного производства.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Объем платных услуг населению по  крупным и средним предприятиям города</w:t>
      </w:r>
      <w:r w:rsidRPr="00592EFD">
        <w:rPr>
          <w:rFonts w:ascii="Times New Roman" w:hAnsi="Times New Roman"/>
          <w:b/>
          <w:sz w:val="28"/>
          <w:szCs w:val="28"/>
        </w:rPr>
        <w:t xml:space="preserve"> </w:t>
      </w:r>
      <w:r w:rsidRPr="00592EFD">
        <w:rPr>
          <w:rFonts w:ascii="Times New Roman" w:hAnsi="Times New Roman"/>
          <w:sz w:val="28"/>
          <w:szCs w:val="28"/>
        </w:rPr>
        <w:t>за  2018 год составил 2304,6 млн. рублей. Темп роста объема платных услуг населению достиг 117,95 %.</w:t>
      </w:r>
    </w:p>
    <w:p w:rsidR="00592EFD" w:rsidRDefault="00FB275D" w:rsidP="00062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Объем бытовых услуг населению по  крупным и средним предприятиям города,</w:t>
      </w:r>
      <w:r w:rsidRPr="00592EFD">
        <w:rPr>
          <w:rFonts w:ascii="Times New Roman" w:hAnsi="Times New Roman"/>
          <w:b/>
          <w:sz w:val="28"/>
          <w:szCs w:val="28"/>
        </w:rPr>
        <w:t xml:space="preserve"> </w:t>
      </w:r>
      <w:r w:rsidRPr="00592EFD">
        <w:rPr>
          <w:rFonts w:ascii="Times New Roman" w:hAnsi="Times New Roman"/>
          <w:sz w:val="28"/>
          <w:szCs w:val="28"/>
        </w:rPr>
        <w:t xml:space="preserve">за  2018 год составил 20,9 млн. рублей, при этом снизился на 10,2 % к уровню 2017 года. </w:t>
      </w:r>
    </w:p>
    <w:p w:rsidR="000625B9" w:rsidRDefault="000625B9" w:rsidP="00241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4C6" w:rsidRDefault="00FB275D" w:rsidP="00A614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Оценка факторов и ограничений экономического роста,</w:t>
      </w:r>
      <w:r w:rsidR="006378AA">
        <w:rPr>
          <w:rFonts w:ascii="Times New Roman" w:hAnsi="Times New Roman"/>
          <w:sz w:val="28"/>
          <w:szCs w:val="28"/>
        </w:rPr>
        <w:t xml:space="preserve"> </w:t>
      </w:r>
      <w:r w:rsidRPr="00592EFD">
        <w:rPr>
          <w:rFonts w:ascii="Times New Roman" w:hAnsi="Times New Roman"/>
          <w:sz w:val="28"/>
          <w:szCs w:val="28"/>
        </w:rPr>
        <w:t>характеристика вариантов развития</w:t>
      </w:r>
      <w:r w:rsidR="00592EFD" w:rsidRPr="00592EF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92EFD" w:rsidRPr="00587AC4">
        <w:rPr>
          <w:rFonts w:ascii="Times New Roman" w:hAnsi="Times New Roman"/>
          <w:color w:val="000000"/>
          <w:sz w:val="28"/>
          <w:szCs w:val="28"/>
          <w:lang w:bidi="ru-RU"/>
        </w:rPr>
        <w:t>муниципаль</w:t>
      </w:r>
      <w:r w:rsidR="006378AA">
        <w:rPr>
          <w:rFonts w:ascii="Times New Roman" w:hAnsi="Times New Roman"/>
          <w:color w:val="000000"/>
          <w:sz w:val="28"/>
          <w:szCs w:val="28"/>
          <w:lang w:bidi="ru-RU"/>
        </w:rPr>
        <w:t xml:space="preserve">ного </w:t>
      </w:r>
      <w:proofErr w:type="gramStart"/>
      <w:r w:rsidR="006378AA">
        <w:rPr>
          <w:rFonts w:ascii="Times New Roman" w:hAnsi="Times New Roman"/>
          <w:color w:val="000000"/>
          <w:sz w:val="28"/>
          <w:szCs w:val="28"/>
          <w:lang w:bidi="ru-RU"/>
        </w:rPr>
        <w:t>образовании</w:t>
      </w:r>
      <w:proofErr w:type="gramEnd"/>
      <w:r w:rsidR="006378AA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 Рубцовск  </w:t>
      </w:r>
      <w:r w:rsidR="00592EFD" w:rsidRPr="00587AC4">
        <w:rPr>
          <w:rFonts w:ascii="Times New Roman" w:hAnsi="Times New Roman"/>
          <w:color w:val="000000"/>
          <w:sz w:val="28"/>
          <w:szCs w:val="28"/>
          <w:lang w:bidi="ru-RU"/>
        </w:rPr>
        <w:t>Алтайского края</w:t>
      </w:r>
      <w:r w:rsidR="00592EFD">
        <w:rPr>
          <w:rFonts w:ascii="Times New Roman" w:hAnsi="Times New Roman"/>
          <w:sz w:val="28"/>
          <w:szCs w:val="28"/>
        </w:rPr>
        <w:t xml:space="preserve"> на среднесрочный период 2020-2022 годы</w:t>
      </w:r>
    </w:p>
    <w:p w:rsidR="00A614C6" w:rsidRPr="00592EFD" w:rsidRDefault="00A614C6" w:rsidP="00A614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Экономическому росту способствует решение задач, определенных документами стратегического планирования, планами мероприятий и дорожными картами, направленных на социально-экономическое развитие города. </w:t>
      </w:r>
    </w:p>
    <w:p w:rsidR="00FB275D" w:rsidRPr="00592EFD" w:rsidRDefault="00FB275D" w:rsidP="00FB275D">
      <w:pPr>
        <w:pStyle w:val="Iniiaiieoaeno21"/>
        <w:keepNext/>
        <w:spacing w:before="0" w:line="240" w:lineRule="auto"/>
        <w:rPr>
          <w:sz w:val="28"/>
          <w:szCs w:val="28"/>
        </w:rPr>
      </w:pPr>
      <w:r w:rsidRPr="00592EFD">
        <w:rPr>
          <w:sz w:val="28"/>
          <w:szCs w:val="28"/>
        </w:rPr>
        <w:lastRenderedPageBreak/>
        <w:t xml:space="preserve">Прогноз разработан на вариативной основе. Первый (базовый) вариант сформирован с учетом </w:t>
      </w:r>
      <w:r w:rsidRPr="00592EFD">
        <w:rPr>
          <w:color w:val="000000"/>
          <w:sz w:val="28"/>
          <w:szCs w:val="28"/>
        </w:rPr>
        <w:t>сохранения существующих тенденций в экономике и социальной сфере, предусматривает увеличение объемов промышленного производства, рост инвестиций в основной капитал, повышение уровня доходов населения и дальнейшее восстановление потребительского спроса. Второй (</w:t>
      </w:r>
      <w:r w:rsidRPr="00592EFD">
        <w:rPr>
          <w:sz w:val="28"/>
          <w:szCs w:val="28"/>
        </w:rPr>
        <w:t xml:space="preserve">целевой) вариант прогноза разработан с учетом выхода экономики на траекторию устойчивого роста за счет повышения уровня инвестиционной и инновационной активности предприятий. Данный вариант характеризуется ускоренным социально-экономическим развитием города. </w:t>
      </w:r>
    </w:p>
    <w:p w:rsidR="00FB275D" w:rsidRPr="00592EFD" w:rsidRDefault="00FB275D" w:rsidP="00A37418">
      <w:pPr>
        <w:pStyle w:val="a4"/>
        <w:shd w:val="clear" w:color="auto" w:fill="FFFFFF"/>
        <w:spacing w:after="0" w:line="240" w:lineRule="auto"/>
        <w:ind w:left="0" w:firstLine="708"/>
        <w:jc w:val="both"/>
        <w:rPr>
          <w:szCs w:val="28"/>
          <w:lang w:eastAsia="ru-RU"/>
        </w:rPr>
      </w:pPr>
      <w:r w:rsidRPr="00592EFD">
        <w:rPr>
          <w:szCs w:val="28"/>
          <w:lang w:eastAsia="ru-RU"/>
        </w:rPr>
        <w:t>Драйверами промышленности в 2020 – 2022 годах будут предприятия, специализирующиеся на производстве готовых металлических изделий, машин и оборудования, пищевых продуктов.</w:t>
      </w:r>
    </w:p>
    <w:p w:rsidR="00FB275D" w:rsidRPr="00592EFD" w:rsidRDefault="00FB275D" w:rsidP="00FB2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EFD">
        <w:rPr>
          <w:rFonts w:ascii="Times New Roman" w:hAnsi="Times New Roman"/>
          <w:sz w:val="28"/>
          <w:szCs w:val="28"/>
        </w:rPr>
        <w:t xml:space="preserve">В среднесрочном периоде прирост промышленного производства в сопоставимых ценах ожидается по базовому варианту – от 2,4 до 2,8 %, </w:t>
      </w:r>
      <w:r w:rsidRPr="00592EFD">
        <w:rPr>
          <w:rFonts w:ascii="Times New Roman" w:hAnsi="Times New Roman"/>
          <w:sz w:val="28"/>
          <w:szCs w:val="28"/>
        </w:rPr>
        <w:br/>
        <w:t>по целевому – от 2,7 до 3,4 %.</w:t>
      </w:r>
      <w:proofErr w:type="gramEnd"/>
    </w:p>
    <w:p w:rsidR="00FB275D" w:rsidRPr="00592EFD" w:rsidRDefault="00A37418" w:rsidP="00A37418">
      <w:pPr>
        <w:tabs>
          <w:tab w:val="num" w:pos="-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275D" w:rsidRPr="00592EFD">
        <w:rPr>
          <w:rFonts w:ascii="Times New Roman" w:hAnsi="Times New Roman"/>
          <w:sz w:val="28"/>
          <w:szCs w:val="28"/>
        </w:rPr>
        <w:t>Объемы привлеченных сре</w:t>
      </w:r>
      <w:proofErr w:type="gramStart"/>
      <w:r w:rsidR="00FB275D" w:rsidRPr="00592EFD">
        <w:rPr>
          <w:rFonts w:ascii="Times New Roman" w:hAnsi="Times New Roman"/>
          <w:sz w:val="28"/>
          <w:szCs w:val="28"/>
        </w:rPr>
        <w:t>дств  пр</w:t>
      </w:r>
      <w:proofErr w:type="gramEnd"/>
      <w:r w:rsidR="00FB275D" w:rsidRPr="00592EFD">
        <w:rPr>
          <w:rFonts w:ascii="Times New Roman" w:hAnsi="Times New Roman"/>
          <w:sz w:val="28"/>
          <w:szCs w:val="28"/>
        </w:rPr>
        <w:t>едусматриваются за счет средств из других источников и увеличения объемов бюджетных средств, планируемых в основном на реализацию бюджетных проектов в городе Рубцовске на 2020 - 2022 годы. Предусматривается рост вложения инвестиций в развитие экономики города с учетом реализации коммунальных инфраструктурных проектов. В прогнозируемый период на 2020 - 2022 годы планируется реализация 4 бюджетных проектов с участием краевого бюджета, 3 внебюд</w:t>
      </w:r>
      <w:r w:rsidR="00FB275D" w:rsidRPr="00592EFD">
        <w:rPr>
          <w:rFonts w:ascii="Times New Roman" w:hAnsi="Times New Roman"/>
          <w:sz w:val="28"/>
          <w:szCs w:val="28"/>
        </w:rPr>
        <w:softHyphen/>
        <w:t>жетных проектов в сфере экономики и 7 внебюджетных ин</w:t>
      </w:r>
      <w:r w:rsidR="00FB275D" w:rsidRPr="00592EFD">
        <w:rPr>
          <w:rFonts w:ascii="Times New Roman" w:hAnsi="Times New Roman"/>
          <w:sz w:val="28"/>
          <w:szCs w:val="28"/>
        </w:rPr>
        <w:softHyphen/>
        <w:t>вестиционных проектов малого и среднего предпринимательства в сфере развития инфраструктуры города.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EFD">
        <w:rPr>
          <w:rFonts w:ascii="Times New Roman" w:hAnsi="Times New Roman"/>
          <w:sz w:val="28"/>
          <w:szCs w:val="28"/>
        </w:rPr>
        <w:t>Увеличение объема инвестиций в основной капитал по источникам финансирования (без субъектов малого предпринимательства и объемов инвестиций, не наблюдаемых прямым статистическим методами)</w:t>
      </w:r>
      <w:r w:rsidRPr="00592EFD">
        <w:rPr>
          <w:rFonts w:ascii="Times New Roman" w:hAnsi="Times New Roman"/>
          <w:sz w:val="28"/>
          <w:szCs w:val="28"/>
        </w:rPr>
        <w:br/>
        <w:t>в 2020 – 2022 годах по базовому варианту ожидается от 1800</w:t>
      </w:r>
      <w:r w:rsidRPr="00592EFD">
        <w:rPr>
          <w:rFonts w:ascii="Times New Roman" w:hAnsi="Times New Roman"/>
          <w:sz w:val="28"/>
          <w:szCs w:val="28"/>
        </w:rPr>
        <w:br/>
        <w:t>до 2100 млн. рублей, по целевому</w:t>
      </w:r>
      <w:r w:rsidRPr="00592EFD">
        <w:rPr>
          <w:rFonts w:ascii="Times New Roman" w:hAnsi="Times New Roman"/>
          <w:sz w:val="28"/>
          <w:szCs w:val="28"/>
        </w:rPr>
        <w:sym w:font="Symbol" w:char="002D"/>
      </w:r>
      <w:r w:rsidRPr="00592EFD">
        <w:rPr>
          <w:rFonts w:ascii="Times New Roman" w:hAnsi="Times New Roman"/>
          <w:sz w:val="28"/>
          <w:szCs w:val="28"/>
        </w:rPr>
        <w:t xml:space="preserve"> от 1900 до 2400 млн. рублей.</w:t>
      </w:r>
      <w:proofErr w:type="gramEnd"/>
    </w:p>
    <w:p w:rsidR="00FB275D" w:rsidRPr="00592EFD" w:rsidRDefault="00A37418" w:rsidP="00A374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275D" w:rsidRPr="00592EFD">
        <w:rPr>
          <w:rFonts w:ascii="Times New Roman" w:hAnsi="Times New Roman"/>
          <w:sz w:val="28"/>
          <w:szCs w:val="28"/>
        </w:rPr>
        <w:t xml:space="preserve">В среднесрочной перспективе сеть предприятий розничной торговли и предприятий по предоставлению платных услуг населению будет расширяться в основном за счет открытия новых объектов в  различных частях города. </w:t>
      </w:r>
    </w:p>
    <w:p w:rsidR="00FB275D" w:rsidRPr="00592EFD" w:rsidRDefault="00FB275D" w:rsidP="00FB27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В 2019 году оборот розничной торговли оценивается на уровне     7361,6 млн. руб. при этом темп роста составит 109,4 % к 2018 году. С 2020 года по 2022 год розничный товарооборот в городе прогнозируется с ежегодным увеличением на 346 – 512,8 млн. руб.  (по базовому варианту), на 375,4 – 558,7 млн. руб. (по целевому варианту) и к 2022 году составит       8652 млн. руб. (по базовому варианту), или  62245 рублей на душу населения. 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С 2019 года по 2022 год прогнозируется положительная динамика роста, как оборота розничной торговли, так и предоставления платных услуг населению города. Основой влияния на рост объема платных услуг, предлагаемых населению города, является их потребительский спрос. По объему платных услуг населению 2019 год оценивается с ростом на  18,2 % в действующих ценах к 2018 году. К 2022 году объем платных  услуг населению увеличится с 3216,7 млн. руб. (по базовому варианту) до        3271,7 млн. руб. (по целевому варианту), это в 1,4 раза больше, чем в 2018 </w:t>
      </w:r>
      <w:r w:rsidRPr="00592EFD">
        <w:rPr>
          <w:rFonts w:ascii="Times New Roman" w:hAnsi="Times New Roman"/>
          <w:sz w:val="28"/>
          <w:szCs w:val="28"/>
        </w:rPr>
        <w:lastRenderedPageBreak/>
        <w:t>году. Прогноз темпов роста (в 2022 году – 106,4 % по базовому варианту) будет обеспечиваться в основном за счет увеличения  стоимости платных услуг. На душу населения  эти расходы  составят к 2022 году 23142 рубля (по базовому варианту).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>Индекс потребительских цен на все товары и услуги прогнозируется в границах от 103,7 до 104%.</w:t>
      </w:r>
    </w:p>
    <w:p w:rsidR="00FB275D" w:rsidRPr="00592EFD" w:rsidRDefault="00FB275D" w:rsidP="00A37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Уровень жизни в муниципальном образовании характеризуется, в первую очередь, уровнем доходов населения, среди которых значительный вес занимает заработная плата. Рост оплаты труда является и положительной причиной роста численности </w:t>
      </w:r>
      <w:proofErr w:type="gramStart"/>
      <w:r w:rsidRPr="00592EFD">
        <w:rPr>
          <w:rFonts w:ascii="Times New Roman" w:hAnsi="Times New Roman"/>
          <w:sz w:val="28"/>
          <w:szCs w:val="28"/>
        </w:rPr>
        <w:t>занятых</w:t>
      </w:r>
      <w:proofErr w:type="gramEnd"/>
      <w:r w:rsidRPr="00592EFD">
        <w:rPr>
          <w:rFonts w:ascii="Times New Roman" w:hAnsi="Times New Roman"/>
          <w:sz w:val="28"/>
          <w:szCs w:val="28"/>
        </w:rPr>
        <w:t xml:space="preserve"> трудовой деятельностью.</w:t>
      </w:r>
    </w:p>
    <w:p w:rsidR="00FB275D" w:rsidRPr="00592EFD" w:rsidRDefault="00FB275D" w:rsidP="00FB275D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92EFD">
        <w:rPr>
          <w:szCs w:val="28"/>
        </w:rPr>
        <w:t xml:space="preserve">В период с 2020 по 2022 годы повышение заработной платы прогнозируется во всех сферах экономики города. </w:t>
      </w:r>
    </w:p>
    <w:p w:rsidR="00FB275D" w:rsidRPr="00592EFD" w:rsidRDefault="00FB275D" w:rsidP="00FB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D">
        <w:rPr>
          <w:rFonts w:ascii="Times New Roman" w:hAnsi="Times New Roman"/>
          <w:sz w:val="28"/>
          <w:szCs w:val="28"/>
        </w:rPr>
        <w:t xml:space="preserve">По прогнозу 2022 года  увеличение уровня среднемесячной заработной платы одного работника в городе планируется до 30350 рублей (по базовому варианту), что на 11,3% больше уровня 2018 года. Рост оплаты труда является и положительной причиной роста численности </w:t>
      </w:r>
      <w:proofErr w:type="gramStart"/>
      <w:r w:rsidRPr="00592EFD">
        <w:rPr>
          <w:rFonts w:ascii="Times New Roman" w:hAnsi="Times New Roman"/>
          <w:sz w:val="28"/>
          <w:szCs w:val="28"/>
        </w:rPr>
        <w:t>занятых</w:t>
      </w:r>
      <w:proofErr w:type="gramEnd"/>
      <w:r w:rsidRPr="00592EFD">
        <w:rPr>
          <w:rFonts w:ascii="Times New Roman" w:hAnsi="Times New Roman"/>
          <w:sz w:val="28"/>
          <w:szCs w:val="28"/>
        </w:rPr>
        <w:t xml:space="preserve"> трудовой деятельностью.</w:t>
      </w:r>
    </w:p>
    <w:p w:rsidR="00FB275D" w:rsidRPr="00592EFD" w:rsidRDefault="00FB275D" w:rsidP="00FB275D">
      <w:pPr>
        <w:pStyle w:val="a4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592EFD">
        <w:rPr>
          <w:szCs w:val="28"/>
        </w:rPr>
        <w:t xml:space="preserve">Учитывая политику, проводимую на всех уровнях власти в целях повышения реальных доходов населения, темп роста заработной платы по кругу крупных и средних организаций к 2022 году по базовому варианту прогнозируется до 100,7 %, по целевому </w:t>
      </w:r>
      <w:r w:rsidRPr="00592EFD">
        <w:rPr>
          <w:szCs w:val="28"/>
        </w:rPr>
        <w:sym w:font="Symbol" w:char="002D"/>
      </w:r>
      <w:r w:rsidRPr="00592EFD">
        <w:rPr>
          <w:szCs w:val="28"/>
        </w:rPr>
        <w:t xml:space="preserve"> до 101,6 %. </w:t>
      </w:r>
      <w:proofErr w:type="gramEnd"/>
    </w:p>
    <w:p w:rsidR="00FB275D" w:rsidRPr="00592EFD" w:rsidRDefault="00A37418" w:rsidP="00A374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B275D" w:rsidRPr="00592EFD">
        <w:rPr>
          <w:rFonts w:ascii="Times New Roman" w:hAnsi="Times New Roman"/>
          <w:sz w:val="28"/>
          <w:szCs w:val="28"/>
        </w:rPr>
        <w:t>В среднесрочном периоде прогнозируется положительная динамика численности работников по кругу  крупных и средних организаций,</w:t>
      </w:r>
      <w:r w:rsidR="00FB275D" w:rsidRPr="00592EFD">
        <w:rPr>
          <w:rFonts w:ascii="Times New Roman" w:hAnsi="Times New Roman"/>
          <w:sz w:val="28"/>
          <w:szCs w:val="28"/>
        </w:rPr>
        <w:br/>
        <w:t>по базовому сценарию развития от 25900 до 26350 человек, по целевому – от 26000 до 26650 человек.</w:t>
      </w:r>
      <w:proofErr w:type="gramEnd"/>
      <w:r w:rsidR="00FB275D" w:rsidRPr="00592EFD">
        <w:rPr>
          <w:rFonts w:ascii="Times New Roman" w:hAnsi="Times New Roman"/>
          <w:sz w:val="28"/>
          <w:szCs w:val="28"/>
        </w:rPr>
        <w:t xml:space="preserve"> В прогнозный период на 2020-2022 годы ожидается небольшой прирост трудовых ресурсов за счет взросления молодого поколения и увеличения возраста выхода работников на пенсию. </w:t>
      </w:r>
      <w:r w:rsidR="00FB275D" w:rsidRPr="00592EFD">
        <w:rPr>
          <w:rFonts w:ascii="Times New Roman" w:hAnsi="Times New Roman"/>
          <w:sz w:val="28"/>
          <w:szCs w:val="28"/>
          <w:shd w:val="clear" w:color="auto" w:fill="FFFFFF"/>
        </w:rPr>
        <w:t xml:space="preserve">Трудовым потенциалом также являются </w:t>
      </w:r>
      <w:r w:rsidR="00FB275D" w:rsidRPr="00592EFD">
        <w:rPr>
          <w:rFonts w:ascii="Times New Roman" w:hAnsi="Times New Roman"/>
          <w:sz w:val="28"/>
          <w:szCs w:val="28"/>
        </w:rPr>
        <w:t xml:space="preserve">лица в трудоспособном возрасте, не занятые трудовой деятельностью и учебой. </w:t>
      </w:r>
      <w:proofErr w:type="gramStart"/>
      <w:r w:rsidR="00FB275D" w:rsidRPr="00592EFD">
        <w:rPr>
          <w:rFonts w:ascii="Times New Roman" w:hAnsi="Times New Roman"/>
          <w:sz w:val="28"/>
          <w:szCs w:val="28"/>
        </w:rPr>
        <w:t>Плановое увеличение занятого населения должно обеспечить стабильную как общую, так и регистрируемую безработицу, поэтому прогноз уровня регистрируемой безработицы к численности трудоспособного населения с 2020 по 2022 годы определяется без снижения как оценка и в 2019 году - 0,5 %. Увеличение количества занятых предполагается в секторе малого предпринимательства, а именно в сфере потребительских услуг.</w:t>
      </w:r>
      <w:proofErr w:type="gramEnd"/>
    </w:p>
    <w:p w:rsidR="00FB275D" w:rsidRDefault="00FB275D" w:rsidP="00384E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5D6" w:rsidRDefault="004145D6" w:rsidP="00384E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21" w:rsidRDefault="00E35F21" w:rsidP="00384E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77" w:rsidRPr="00384E77" w:rsidRDefault="00384E77" w:rsidP="00384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FB275D" w:rsidRPr="00E35F21" w:rsidRDefault="00384E77" w:rsidP="00E35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sz w:val="28"/>
          <w:szCs w:val="28"/>
        </w:rPr>
        <w:t>и ценообразования Администрации города                             И.В. Пурыга</w:t>
      </w:r>
    </w:p>
    <w:p w:rsidR="006F1726" w:rsidRDefault="006F1726" w:rsidP="000625B9">
      <w:pPr>
        <w:spacing w:after="0" w:line="240" w:lineRule="auto"/>
        <w:jc w:val="both"/>
      </w:pPr>
    </w:p>
    <w:sectPr w:rsidR="006F1726" w:rsidSect="00A614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5D"/>
    <w:rsid w:val="000625B9"/>
    <w:rsid w:val="00241E2C"/>
    <w:rsid w:val="00361AD4"/>
    <w:rsid w:val="00384E77"/>
    <w:rsid w:val="004145D6"/>
    <w:rsid w:val="004856A9"/>
    <w:rsid w:val="00592EFD"/>
    <w:rsid w:val="006378AA"/>
    <w:rsid w:val="006F1726"/>
    <w:rsid w:val="007D1EC3"/>
    <w:rsid w:val="008E2F46"/>
    <w:rsid w:val="00A37418"/>
    <w:rsid w:val="00A614C6"/>
    <w:rsid w:val="00E35F21"/>
    <w:rsid w:val="00F36FFD"/>
    <w:rsid w:val="00FB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75D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 Знак,Обычный (Web),Обычный (веб) Знак Знак Знак,Обычный (веб) Знак1,Обычный (Web) Знак1,Обычный (Web) Знак Знак Знак,Знак Знак Знак1,Знак Знак Знак1 Знак,Знак Знак,Обычный (веб) Знак Знак,Знак"/>
    <w:basedOn w:val="a"/>
    <w:uiPriority w:val="99"/>
    <w:semiHidden/>
    <w:unhideWhenUsed/>
    <w:rsid w:val="00FB275D"/>
    <w:pPr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FB27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niiaiieoaeno21">
    <w:name w:val="Iniiaiie oaeno 21"/>
    <w:basedOn w:val="a"/>
    <w:uiPriority w:val="99"/>
    <w:rsid w:val="00FB275D"/>
    <w:pPr>
      <w:widowControl w:val="0"/>
      <w:spacing w:before="60" w:after="0" w:line="-36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Style5">
    <w:name w:val="Style5"/>
    <w:basedOn w:val="a"/>
    <w:uiPriority w:val="99"/>
    <w:rsid w:val="00FB275D"/>
    <w:pPr>
      <w:widowControl w:val="0"/>
      <w:autoSpaceDE w:val="0"/>
      <w:autoSpaceDN w:val="0"/>
      <w:adjustRightInd w:val="0"/>
      <w:spacing w:after="0" w:line="319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B275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Муссаевна Перова</dc:creator>
  <cp:lastModifiedBy>Лейла Муссаевна Перова</cp:lastModifiedBy>
  <cp:revision>21</cp:revision>
  <dcterms:created xsi:type="dcterms:W3CDTF">2019-09-30T04:38:00Z</dcterms:created>
  <dcterms:modified xsi:type="dcterms:W3CDTF">2019-09-30T06:46:00Z</dcterms:modified>
</cp:coreProperties>
</file>